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_GB2312" w:eastAsia="仿宋_GB2312" w:cs="华文中宋"/>
          <w:sz w:val="32"/>
          <w:szCs w:val="36"/>
        </w:rPr>
      </w:pPr>
      <w:r>
        <w:rPr>
          <w:sz w:val="18"/>
        </w:rPr>
        <mc:AlternateContent>
          <mc:Choice Requires="wps">
            <w:drawing>
              <wp:anchor distT="0" distB="0" distL="114300" distR="114300" simplePos="0" relativeHeight="251665408" behindDoc="1" locked="0" layoutInCell="1" allowOverlap="1">
                <wp:simplePos x="0" y="0"/>
                <wp:positionH relativeFrom="column">
                  <wp:posOffset>3301365</wp:posOffset>
                </wp:positionH>
                <wp:positionV relativeFrom="paragraph">
                  <wp:posOffset>58420</wp:posOffset>
                </wp:positionV>
                <wp:extent cx="2371725" cy="504825"/>
                <wp:effectExtent l="0" t="0" r="9525" b="9525"/>
                <wp:wrapNone/>
                <wp:docPr id="2" name="文本框 2"/>
                <wp:cNvGraphicFramePr/>
                <a:graphic xmlns:a="http://schemas.openxmlformats.org/drawingml/2006/main">
                  <a:graphicData uri="http://schemas.microsoft.com/office/word/2010/wordprocessingShape">
                    <wps:wsp>
                      <wps:cNvSpPr txBox="true"/>
                      <wps:spPr>
                        <a:xfrm>
                          <a:off x="0" y="0"/>
                          <a:ext cx="2371725" cy="5048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640" w:lineRule="exact"/>
                              <w:jc w:val="right"/>
                              <w:rPr>
                                <w:rFonts w:hint="eastAsia" w:ascii="黑体" w:hAnsi="黑体" w:eastAsia="黑体" w:cs="仿宋_GB2312"/>
                                <w:bCs/>
                                <w:color w:val="auto"/>
                                <w:sz w:val="32"/>
                                <w:szCs w:val="32"/>
                                <w:lang w:bidi="ar"/>
                              </w:rPr>
                            </w:pPr>
                            <w:r>
                              <w:rPr>
                                <w:rFonts w:hint="eastAsia" w:ascii="黑体" w:hAnsi="黑体" w:eastAsia="黑体" w:cs="仿宋_GB2312"/>
                                <w:bCs/>
                                <w:color w:val="auto"/>
                                <w:sz w:val="32"/>
                                <w:szCs w:val="32"/>
                                <w:lang w:val="en-US" w:eastAsia="zh-CN" w:bidi="ar"/>
                              </w:rPr>
                              <w:t>ZJDC65-2022-0002</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9.95pt;margin-top:4.6pt;height:39.75pt;width:186.75pt;z-index:-251651072;mso-width-relative:page;mso-height-relative:page;" fillcolor="#FFFFFF [3201]" filled="t" stroked="f" coordsize="21600,21600" o:gfxdata="UEsFBgAAAAAAAAAAAAAAAAAAAAAAAFBLAwQKAAAAAACHTuJAAAAAAAAAAAAAAAAABAAAAGRycy9Q&#10;SwMEFAAAAAgAh07iQAKgRc/UAAAACAEAAA8AAABkcnMvZG93bnJldi54bWxNjztPxDAQhHsk/oO1&#10;SHSck+OAJMS5AokWiXvVvniJI+x1ZPuev56lgm5WM5r5tl2evRNHjGkMpKCcFSCQ+mBGGhRs1u8P&#10;FYiUNRntAqGCCyZYdrc3rW5MONEnHld5EFxCqdEKbM5TI2XqLXqdZmFCYu8rRK8zn3GQJuoTl3sn&#10;50XxLL0eiResnvDNYv+9OngFu8Ffd9tyitZ4t6CP62W9CaNS93dl8Qoi4zn/heEXn9GhY6Z9OJBJ&#10;wil4KuuaowrqOQj2q/pxAWLPonoB2bXy/wPdD1BLAwQUAAAACACHTuJA64Fo0jsCAABTBAAADgAA&#10;AGRycy9lMm9Eb2MueG1srVTNjtMwEL4j8Q6W7zRptt1dqqar0lURUsWuVBBn17GbSI7H2G6T8gDw&#10;Bpy4cOe5+hyMnbRbfk6IHJwZz2Rmvm9mMr1ra0X2wroKdE6Hg5QSoTkUld7m9P275YtbSpxnumAK&#10;tMjpQTh6N3v+bNqYicigBFUISzCIdpPG5LT03kySxPFS1MwNwAiNRgm2Zh5Vu00KyxqMXqskS9Pr&#10;pAFbGAtcOIe3952RzmJ8KQX3D1I64YnKKdbm42njuQlnMpuyydYyU1a8L4P9QxU1qzQmPYe6Z56R&#10;na3+CFVX3IID6Qcc6gSkrLiIGBDNMP0NzbpkRkQsSI4zZ5rc/wvL3+4fLamKnGaUaFZji45fvxy/&#10;/Th+/0yyQE9j3AS91gb9fPsK2px6uxMnk8P7ALyVtg5vhETQBbk+nPkVrSccL7Orm+FNNqaEo22c&#10;jm5RxgzJ09fGOv9aQE2CkFOL/Yu0sv3K+c715BKSOVBVsayUiordbhbKkj3DXi/j00f/xU1p0uT0&#10;+mqcxsgawvddaKWxmIC3AxUk327anoQNFAfkwEI3RM7wZYVVrpjzj8zi1CBm3AT/gIdUgEmglygp&#10;wX76233wx2ailZIGpzCn7uOOWUGJeqOxzS+Ho1EY26iMxjcZKvbSsrm06F29AAQ/xJ0zPIrB36uT&#10;KC3UH3Bh5iGrZMphIqY55semnsSFR6034uJxMZ+fdRxaw/xKrw3vxyAwr2G+8yCr2KHAWkdVTyZO&#10;buxxv2VhNS716PX0L5j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AKgRc/UAAAACAEAAA8AAAAA&#10;AAAAAQAgAAAAOAAAAGRycy9kb3ducmV2LnhtbFBLAQIUABQAAAAIAIdO4kDrgWjSOwIAAFMEAAAO&#10;AAAAAAAAAAEAIAAAADkBAABkcnMvZTJvRG9jLnhtbFBLBQYAAAAABgAGAFkBAADmBQAAAAA=&#10;">
                <v:fill on="t" focussize="0,0"/>
                <v:stroke on="f" weight="0.5pt"/>
                <v:imagedata o:title=""/>
                <o:lock v:ext="edit" aspectratio="f"/>
                <v:textbox>
                  <w:txbxContent>
                    <w:p>
                      <w:pPr>
                        <w:spacing w:line="640" w:lineRule="exact"/>
                        <w:jc w:val="right"/>
                        <w:rPr>
                          <w:rFonts w:hint="eastAsia" w:ascii="黑体" w:hAnsi="黑体" w:eastAsia="黑体" w:cs="仿宋_GB2312"/>
                          <w:bCs/>
                          <w:color w:val="auto"/>
                          <w:sz w:val="32"/>
                          <w:szCs w:val="32"/>
                          <w:lang w:bidi="ar"/>
                        </w:rPr>
                      </w:pPr>
                      <w:r>
                        <w:rPr>
                          <w:rFonts w:hint="eastAsia" w:ascii="黑体" w:hAnsi="黑体" w:eastAsia="黑体" w:cs="仿宋_GB2312"/>
                          <w:bCs/>
                          <w:color w:val="auto"/>
                          <w:sz w:val="32"/>
                          <w:szCs w:val="32"/>
                          <w:lang w:val="en-US" w:eastAsia="zh-CN" w:bidi="ar"/>
                        </w:rPr>
                        <w:t>ZJDC65-2022-0002</w:t>
                      </w:r>
                    </w:p>
                    <w:p/>
                  </w:txbxContent>
                </v:textbox>
              </v:shape>
            </w:pict>
          </mc:Fallback>
        </mc:AlternateContent>
      </w:r>
    </w:p>
    <w:tbl>
      <w:tblPr>
        <w:tblStyle w:val="8"/>
        <w:tblpPr w:leftFromText="180" w:rightFromText="180" w:vertAnchor="page" w:horzAnchor="page" w:tblpX="1705" w:tblpY="2808"/>
        <w:tblOverlap w:val="never"/>
        <w:tblW w:w="8939" w:type="dxa"/>
        <w:tblInd w:w="0" w:type="dxa"/>
        <w:tblLayout w:type="fixed"/>
        <w:tblCellMar>
          <w:top w:w="0" w:type="dxa"/>
          <w:left w:w="108" w:type="dxa"/>
          <w:bottom w:w="0" w:type="dxa"/>
          <w:right w:w="108" w:type="dxa"/>
        </w:tblCellMar>
      </w:tblPr>
      <w:tblGrid>
        <w:gridCol w:w="7469"/>
        <w:gridCol w:w="1470"/>
      </w:tblGrid>
      <w:tr>
        <w:trPr>
          <w:trHeight w:val="4375" w:hRule="atLeast"/>
        </w:trPr>
        <w:tc>
          <w:tcPr>
            <w:tcW w:w="7469" w:type="dxa"/>
            <w:noWrap w:val="0"/>
            <w:vAlign w:val="center"/>
          </w:tcPr>
          <w:p>
            <w:pPr>
              <w:keepNext w:val="0"/>
              <w:keepLines w:val="0"/>
              <w:pageBreakBefore w:val="0"/>
              <w:widowControl w:val="0"/>
              <w:kinsoku/>
              <w:wordWrap/>
              <w:overflowPunct/>
              <w:topLinePunct w:val="0"/>
              <w:autoSpaceDE/>
              <w:autoSpaceDN/>
              <w:bidi w:val="0"/>
              <w:adjustRightInd/>
              <w:snapToGrid/>
              <w:spacing w:line="1020" w:lineRule="exact"/>
              <w:jc w:val="distribute"/>
              <w:textAlignment w:val="auto"/>
              <w:rPr>
                <w:rFonts w:eastAsia="方正小标宋简体"/>
                <w:color w:val="FF0000"/>
                <w:spacing w:val="-23"/>
                <w:w w:val="80"/>
                <w:sz w:val="72"/>
                <w:szCs w:val="84"/>
              </w:rPr>
            </w:pPr>
            <w:r>
              <w:rPr>
                <w:rFonts w:eastAsia="方正小标宋简体"/>
                <w:color w:val="FF0000"/>
                <w:spacing w:val="-23"/>
                <w:w w:val="80"/>
                <w:sz w:val="72"/>
                <w:szCs w:val="84"/>
              </w:rPr>
              <w:t>绍兴市农业农村局</w:t>
            </w:r>
          </w:p>
          <w:p>
            <w:pPr>
              <w:keepNext w:val="0"/>
              <w:keepLines w:val="0"/>
              <w:pageBreakBefore w:val="0"/>
              <w:widowControl w:val="0"/>
              <w:kinsoku/>
              <w:wordWrap/>
              <w:overflowPunct/>
              <w:topLinePunct w:val="0"/>
              <w:autoSpaceDE/>
              <w:autoSpaceDN/>
              <w:bidi w:val="0"/>
              <w:adjustRightInd/>
              <w:snapToGrid/>
              <w:spacing w:line="1020" w:lineRule="exact"/>
              <w:jc w:val="distribute"/>
              <w:textAlignment w:val="auto"/>
              <w:rPr>
                <w:rFonts w:hint="eastAsia" w:eastAsia="方正小标宋简体"/>
                <w:color w:val="FF0000"/>
                <w:spacing w:val="-23"/>
                <w:w w:val="80"/>
                <w:sz w:val="72"/>
                <w:szCs w:val="84"/>
                <w:lang w:eastAsia="zh-CN"/>
              </w:rPr>
            </w:pPr>
            <w:r>
              <w:rPr>
                <w:rFonts w:eastAsia="方正小标宋简体"/>
                <w:color w:val="FF0000"/>
                <w:spacing w:val="-23"/>
                <w:w w:val="80"/>
                <w:sz w:val="72"/>
                <w:szCs w:val="84"/>
              </w:rPr>
              <w:t>绍兴市发展和改革委员会</w:t>
            </w:r>
          </w:p>
          <w:p>
            <w:pPr>
              <w:keepNext w:val="0"/>
              <w:keepLines w:val="0"/>
              <w:pageBreakBefore w:val="0"/>
              <w:widowControl w:val="0"/>
              <w:kinsoku/>
              <w:wordWrap/>
              <w:overflowPunct/>
              <w:topLinePunct w:val="0"/>
              <w:autoSpaceDE/>
              <w:autoSpaceDN/>
              <w:bidi w:val="0"/>
              <w:adjustRightInd/>
              <w:snapToGrid/>
              <w:spacing w:line="1020" w:lineRule="exact"/>
              <w:jc w:val="distribute"/>
              <w:textAlignment w:val="auto"/>
              <w:rPr>
                <w:rFonts w:eastAsia="方正小标宋简体"/>
                <w:color w:val="FF0000"/>
                <w:spacing w:val="-23"/>
                <w:w w:val="80"/>
                <w:sz w:val="72"/>
                <w:szCs w:val="84"/>
              </w:rPr>
            </w:pPr>
            <w:r>
              <w:rPr>
                <w:rFonts w:eastAsia="方正小标宋简体"/>
                <w:color w:val="FF0000"/>
                <w:spacing w:val="-23"/>
                <w:w w:val="80"/>
                <w:sz w:val="72"/>
                <w:szCs w:val="84"/>
              </w:rPr>
              <w:t>绍兴市财政局</w:t>
            </w:r>
          </w:p>
          <w:p>
            <w:pPr>
              <w:spacing w:line="1100" w:lineRule="exact"/>
              <w:jc w:val="distribute"/>
              <w:rPr>
                <w:rFonts w:eastAsia="方正小标宋简体"/>
                <w:color w:val="FF0000"/>
                <w:spacing w:val="-23"/>
                <w:w w:val="80"/>
                <w:sz w:val="72"/>
                <w:szCs w:val="84"/>
              </w:rPr>
            </w:pPr>
            <w:r>
              <w:rPr>
                <w:rFonts w:eastAsia="方正小标宋简体"/>
                <w:color w:val="FF0000"/>
                <w:spacing w:val="-23"/>
                <w:w w:val="80"/>
                <w:sz w:val="72"/>
                <w:szCs w:val="84"/>
              </w:rPr>
              <w:t>绍兴市自然资源和规划局</w:t>
            </w:r>
          </w:p>
          <w:p>
            <w:pPr>
              <w:keepNext w:val="0"/>
              <w:keepLines w:val="0"/>
              <w:pageBreakBefore w:val="0"/>
              <w:widowControl w:val="0"/>
              <w:kinsoku/>
              <w:wordWrap/>
              <w:overflowPunct/>
              <w:topLinePunct w:val="0"/>
              <w:autoSpaceDE/>
              <w:autoSpaceDN/>
              <w:bidi w:val="0"/>
              <w:adjustRightInd/>
              <w:snapToGrid/>
              <w:spacing w:line="1020" w:lineRule="exact"/>
              <w:jc w:val="distribute"/>
              <w:textAlignment w:val="auto"/>
              <w:rPr>
                <w:rFonts w:hint="eastAsia" w:eastAsia="方正小标宋简体"/>
                <w:color w:val="FF0000"/>
                <w:spacing w:val="-23"/>
                <w:w w:val="80"/>
                <w:sz w:val="72"/>
                <w:szCs w:val="84"/>
                <w:lang w:eastAsia="zh-CN"/>
              </w:rPr>
            </w:pPr>
            <w:r>
              <w:rPr>
                <w:rFonts w:hint="eastAsia" w:eastAsia="方正小标宋简体"/>
                <w:color w:val="FF0000"/>
                <w:spacing w:val="-23"/>
                <w:w w:val="80"/>
                <w:sz w:val="72"/>
                <w:szCs w:val="84"/>
              </w:rPr>
              <w:t>绍兴市供销合作总社</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1020" w:lineRule="exact"/>
              <w:jc w:val="center"/>
              <w:textAlignment w:val="auto"/>
              <w:rPr>
                <w:rFonts w:eastAsia="方正小标宋简体"/>
                <w:color w:val="FF0000"/>
                <w:spacing w:val="-23"/>
                <w:w w:val="80"/>
                <w:kern w:val="0"/>
                <w:sz w:val="72"/>
                <w:szCs w:val="84"/>
              </w:rPr>
            </w:pPr>
            <w:r>
              <w:rPr>
                <w:rFonts w:eastAsia="方正小标宋简体"/>
                <w:color w:val="FF0000"/>
                <w:spacing w:val="-23"/>
                <w:w w:val="80"/>
                <w:sz w:val="72"/>
                <w:szCs w:val="84"/>
              </w:rPr>
              <w:t>文件</w:t>
            </w:r>
          </w:p>
        </w:tc>
      </w:tr>
      <w:tr>
        <w:tblPrEx>
          <w:tblCellMar>
            <w:top w:w="0" w:type="dxa"/>
            <w:left w:w="108" w:type="dxa"/>
            <w:bottom w:w="0" w:type="dxa"/>
            <w:right w:w="108" w:type="dxa"/>
          </w:tblCellMar>
        </w:tblPrEx>
        <w:trPr>
          <w:trHeight w:val="561" w:hRule="atLeast"/>
        </w:trPr>
        <w:tc>
          <w:tcPr>
            <w:tcW w:w="89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FF0000"/>
                <w:sz w:val="84"/>
                <w:szCs w:val="84"/>
              </w:rPr>
            </w:pPr>
          </w:p>
        </w:tc>
      </w:tr>
      <w:tr>
        <w:tblPrEx>
          <w:tblCellMar>
            <w:top w:w="0" w:type="dxa"/>
            <w:left w:w="108" w:type="dxa"/>
            <w:bottom w:w="0" w:type="dxa"/>
            <w:right w:w="108" w:type="dxa"/>
          </w:tblCellMar>
        </w:tblPrEx>
        <w:trPr>
          <w:trHeight w:val="343" w:hRule="exact"/>
        </w:trPr>
        <w:tc>
          <w:tcPr>
            <w:tcW w:w="893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1020" w:lineRule="exact"/>
              <w:jc w:val="center"/>
              <w:textAlignment w:val="auto"/>
              <w:rPr>
                <w:rFonts w:eastAsia="仿宋_GB2312"/>
                <w:sz w:val="32"/>
                <w:szCs w:val="32"/>
              </w:rPr>
            </w:pPr>
          </w:p>
        </w:tc>
      </w:tr>
      <w:tr>
        <w:tblPrEx>
          <w:tblCellMar>
            <w:top w:w="0" w:type="dxa"/>
            <w:left w:w="108" w:type="dxa"/>
            <w:bottom w:w="0" w:type="dxa"/>
            <w:right w:w="108" w:type="dxa"/>
          </w:tblCellMar>
        </w:tblPrEx>
        <w:trPr>
          <w:trHeight w:val="343" w:hRule="exact"/>
        </w:trPr>
        <w:tc>
          <w:tcPr>
            <w:tcW w:w="8939" w:type="dxa"/>
            <w:gridSpan w:val="2"/>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1020" w:lineRule="exact"/>
              <w:jc w:val="center"/>
              <w:textAlignment w:val="auto"/>
              <w:rPr>
                <w:rFonts w:eastAsia="仿宋_GB2312"/>
                <w:sz w:val="32"/>
                <w:szCs w:val="32"/>
              </w:rPr>
            </w:pPr>
            <w:r>
              <w:rPr>
                <w:sz w:val="84"/>
              </w:rPr>
              <mc:AlternateContent>
                <mc:Choice Requires="wps">
                  <w:drawing>
                    <wp:anchor distT="0" distB="0" distL="114300" distR="114300" simplePos="0" relativeHeight="251666432" behindDoc="0" locked="0" layoutInCell="1" allowOverlap="1">
                      <wp:simplePos x="0" y="0"/>
                      <wp:positionH relativeFrom="column">
                        <wp:posOffset>1655445</wp:posOffset>
                      </wp:positionH>
                      <wp:positionV relativeFrom="paragraph">
                        <wp:posOffset>256540</wp:posOffset>
                      </wp:positionV>
                      <wp:extent cx="2437765" cy="389255"/>
                      <wp:effectExtent l="0" t="0" r="635" b="10795"/>
                      <wp:wrapNone/>
                      <wp:docPr id="1" name="文本框 1"/>
                      <wp:cNvGraphicFramePr/>
                      <a:graphic xmlns:a="http://schemas.openxmlformats.org/drawingml/2006/main">
                        <a:graphicData uri="http://schemas.microsoft.com/office/word/2010/wordprocessingShape">
                          <wps:wsp>
                            <wps:cNvSpPr txBox="true"/>
                            <wps:spPr>
                              <a:xfrm>
                                <a:off x="2937510" y="6554470"/>
                                <a:ext cx="2437765" cy="389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eastAsia="仿宋_GB2312"/>
                                      <w:sz w:val="32"/>
                                      <w:szCs w:val="32"/>
                                      <w:lang w:eastAsia="zh-CN"/>
                                    </w:rPr>
                                    <w:t>绍市农</w:t>
                                  </w:r>
                                  <w:r>
                                    <w:rPr>
                                      <w:rFonts w:eastAsia="仿宋_GB2312"/>
                                      <w:sz w:val="32"/>
                                      <w:szCs w:val="32"/>
                                    </w:rPr>
                                    <w:t>〔202</w:t>
                                  </w:r>
                                  <w:r>
                                    <w:rPr>
                                      <w:rFonts w:hint="eastAsia" w:eastAsia="仿宋_GB2312"/>
                                      <w:sz w:val="32"/>
                                      <w:szCs w:val="32"/>
                                      <w:lang w:val="en-US" w:eastAsia="zh-CN"/>
                                    </w:rPr>
                                    <w:t>2</w:t>
                                  </w:r>
                                  <w:r>
                                    <w:rPr>
                                      <w:rFonts w:eastAsia="仿宋_GB2312"/>
                                      <w:sz w:val="32"/>
                                      <w:szCs w:val="32"/>
                                    </w:rPr>
                                    <w:t>〕</w:t>
                                  </w:r>
                                  <w:r>
                                    <w:rPr>
                                      <w:rFonts w:hint="eastAsia" w:eastAsia="仿宋_GB2312"/>
                                      <w:sz w:val="32"/>
                                      <w:szCs w:val="32"/>
                                      <w:lang w:val="en-US" w:eastAsia="zh-CN"/>
                                    </w:rPr>
                                    <w:t>4</w:t>
                                  </w:r>
                                  <w:r>
                                    <w:rPr>
                                      <w:rFonts w:eastAsia="仿宋_GB2312"/>
                                      <w:sz w:val="32"/>
                                      <w:szCs w:val="32"/>
                                    </w:rPr>
                                    <w:t>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0.35pt;margin-top:20.2pt;height:30.65pt;width:191.95pt;z-index:251666432;mso-width-relative:page;mso-height-relative:page;" fillcolor="#FFFFFF [3201]" filled="t" stroked="f" coordsize="21600,21600" o:gfxdata="UEsFBgAAAAAAAAAAAAAAAAAAAAAAAFBLAwQKAAAAAACHTuJAAAAAAAAAAAAAAAAABAAAAGRycy9Q&#10;SwMEFAAAAAgAh07iQPieWWfVAAAACgEAAA8AAABkcnMvZG93bnJldi54bWxNj8tOwzAQRfdI/IM1&#10;SOyoncpKUYjTBRJbJNrStRsPcYQ9jmL3+fUMK1iO7tG9Z9r1JQZxwjmPiQxUCwUCqU9upMHAbvv2&#10;9AwiF0vOhkRo4IoZ1t39XWsbl870gadNGQSXUG6sAV/K1EiZe4/R5kWakDj7SnO0hc95kG62Zy6P&#10;QS6VqmW0I/GCtxO+euy/N8doYD/E2/6zmmbvYtD0frtud2k05vGhUi8gCl7KHwy/+qwOHTsd0pFc&#10;FsHAslYrRg1opUEwUGtdgzgwqaoVyK6V/1/ofgBQSwMEFAAAAAgAh07iQOYuWBZEAgAAXwQAAA4A&#10;AABkcnMvZTJvRG9jLnhtbK1US44aMRDdR8odLO9D82sYEM2IMCKKNMqMRKKsjduGltwuxzZ0kwMk&#10;N5hVNtnnXJwjZXfDkM8qCgtT5Xq8qnpVZnZbl4ochHUF6Iz2Ol1KhOaQF3qb0Q/vV69uKHGe6Zwp&#10;0CKjR+Ho7fzli1llpqIPO1C5sARJtJtWJqM77800SRzfiZK5DhihMSjBlsyja7dJblmF7KVK+t3u&#10;KKnA5sYCF87h7V0TpPPIL6Xg/kFKJzxRGcXafDxtPDfhTOYzNt1aZnYFb8tg/1BFyQqNSS9Ud8wz&#10;srfFH1RlwS04kL7DoUxAyoKL2AN20+v+1s16x4yIvaA4zlxkcv+Plr87PFpS5Dg7SjQrcUSnp6+n&#10;bz9O37+QXpCnMm6KqLVBnK9fQ51Rb/fiHHJ4HxqvpS3DN7ZEENKfDMZpDxU/ZnSUpsPhuNVa1J7w&#10;ABgOxuNRSglHxOBm0k/TQJk8Mxnr/BsBJQlGRi3OMkrMDvfON9AzJCR2oIp8VSgVHbvdLJUlB4Zz&#10;X8VPy/4LTGlSYX2DtBuZNYTfN9RKYzGh96bBYPl6U7eCbCA/oh4WmoVyhq8KrPKeOf/ILG4Qdo6v&#10;wj/gIRVgEmgtSnZgP//tPuBxsBilpMKNzKj7tGdWUKLeahz5pDcchhWOzjAd99Gx15HNdUTvyyVg&#10;8zhWrC6aAe/V2ZQWyo/4eBYhq2TKYSKmOebHAZ/NpUevDeIj5GKxuPi4wIb5e702vF2JoLyGxd6D&#10;LOKEgmqNVK2YuMVxxu2LC8/k2o+o5/+F+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4nlln1QAA&#10;AAoBAAAPAAAAAAAAAAEAIAAAADgAAABkcnMvZG93bnJldi54bWxQSwECFAAUAAAACACHTuJA5i5Y&#10;FkQCAABfBAAADgAAAAAAAAABACAAAAA6AQAAZHJzL2Uyb0RvYy54bWxQSwUGAAAAAAYABgBZAQAA&#10;8AUAAAAA&#10;">
                      <v:fill on="t" focussize="0,0"/>
                      <v:stroke on="f" weight="0.5pt"/>
                      <v:imagedata o:title=""/>
                      <o:lock v:ext="edit" aspectratio="f"/>
                      <v:textbox>
                        <w:txbxContent>
                          <w:p>
                            <w:pPr>
                              <w:rPr>
                                <w:rFonts w:hint="eastAsia"/>
                                <w:lang w:eastAsia="zh-CN"/>
                              </w:rPr>
                            </w:pPr>
                            <w:r>
                              <w:rPr>
                                <w:rFonts w:hint="eastAsia" w:eastAsia="仿宋_GB2312"/>
                                <w:sz w:val="32"/>
                                <w:szCs w:val="32"/>
                                <w:lang w:eastAsia="zh-CN"/>
                              </w:rPr>
                              <w:t>绍市农</w:t>
                            </w:r>
                            <w:r>
                              <w:rPr>
                                <w:rFonts w:eastAsia="仿宋_GB2312"/>
                                <w:sz w:val="32"/>
                                <w:szCs w:val="32"/>
                              </w:rPr>
                              <w:t>〔202</w:t>
                            </w:r>
                            <w:r>
                              <w:rPr>
                                <w:rFonts w:hint="eastAsia" w:eastAsia="仿宋_GB2312"/>
                                <w:sz w:val="32"/>
                                <w:szCs w:val="32"/>
                                <w:lang w:val="en-US" w:eastAsia="zh-CN"/>
                              </w:rPr>
                              <w:t>2</w:t>
                            </w:r>
                            <w:r>
                              <w:rPr>
                                <w:rFonts w:eastAsia="仿宋_GB2312"/>
                                <w:sz w:val="32"/>
                                <w:szCs w:val="32"/>
                              </w:rPr>
                              <w:t>〕</w:t>
                            </w:r>
                            <w:r>
                              <w:rPr>
                                <w:rFonts w:hint="eastAsia" w:eastAsia="仿宋_GB2312"/>
                                <w:sz w:val="32"/>
                                <w:szCs w:val="32"/>
                                <w:lang w:val="en-US" w:eastAsia="zh-CN"/>
                              </w:rPr>
                              <w:t>4</w:t>
                            </w:r>
                            <w:r>
                              <w:rPr>
                                <w:rFonts w:eastAsia="仿宋_GB2312"/>
                                <w:sz w:val="32"/>
                                <w:szCs w:val="32"/>
                              </w:rPr>
                              <w:t>号</w:t>
                            </w:r>
                          </w:p>
                        </w:txbxContent>
                      </v:textbox>
                    </v:shape>
                  </w:pict>
                </mc:Fallback>
              </mc:AlternateContent>
            </w:r>
          </w:p>
        </w:tc>
      </w:tr>
    </w:tbl>
    <w:p>
      <w:pPr>
        <w:spacing w:line="600" w:lineRule="exact"/>
        <w:jc w:val="left"/>
        <w:rPr>
          <w:rFonts w:hint="eastAsia" w:ascii="仿宋_GB2312" w:eastAsia="仿宋_GB2312"/>
          <w:kern w:val="0"/>
          <w:sz w:val="32"/>
          <w:szCs w:val="32"/>
        </w:rPr>
      </w:pPr>
      <w:r>
        <w:rPr>
          <w:rFonts w:hint="eastAsia" w:ascii="仿宋_GB2312" w:eastAsia="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kern w:val="0"/>
          <w:sz w:val="32"/>
          <w:szCs w:val="32"/>
        </w:rPr>
      </w:pPr>
      <w:r>
        <mc:AlternateContent>
          <mc:Choice Requires="wps">
            <w:drawing>
              <wp:anchor distT="0" distB="0" distL="114300" distR="114300" simplePos="0" relativeHeight="251661312" behindDoc="0" locked="0" layoutInCell="1" allowOverlap="1">
                <wp:simplePos x="0" y="0"/>
                <wp:positionH relativeFrom="margin">
                  <wp:posOffset>-52070</wp:posOffset>
                </wp:positionH>
                <wp:positionV relativeFrom="paragraph">
                  <wp:posOffset>99060</wp:posOffset>
                </wp:positionV>
                <wp:extent cx="5658485" cy="26035"/>
                <wp:effectExtent l="0" t="13970" r="18415" b="17145"/>
                <wp:wrapNone/>
                <wp:docPr id="1026" name="直接连接符 1026"/>
                <wp:cNvGraphicFramePr/>
                <a:graphic xmlns:a="http://schemas.openxmlformats.org/drawingml/2006/main">
                  <a:graphicData uri="http://schemas.microsoft.com/office/word/2010/wordprocessingShape">
                    <wps:wsp>
                      <wps:cNvCnPr/>
                      <wps:spPr>
                        <a:xfrm flipV="true">
                          <a:off x="0" y="0"/>
                          <a:ext cx="5658485" cy="26035"/>
                        </a:xfrm>
                        <a:prstGeom prst="line">
                          <a:avLst/>
                        </a:prstGeom>
                        <a:ln w="28575"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4.1pt;margin-top:7.8pt;height:2.05pt;width:445.55pt;mso-position-horizontal-relative:margin;z-index:251661312;mso-width-relative:page;mso-height-relative:page;" filled="f" stroked="t" coordsize="21600,21600" o:gfxdata="UEsFBgAAAAAAAAAAAAAAAAAAAAAAAFBLAwQKAAAAAACHTuJAAAAAAAAAAAAAAAAABAAAAGRycy9Q&#10;SwMEFAAAAAgAh07iQKvmRcPaAAAACAEAAA8AAABkcnMvZG93bnJldi54bWxNj81OwzAQhO9IvIO1&#10;SNxap5GaummcHlBbQCAhCkg9uvGSRI3XUez+wNOznOC4M6PZb4rlxXXihENoPWmYjBMQSJW3LdUa&#10;3t/WIwUiREPWdJ5QwxcGWJbXV4XJrT/TK562sRZcQiE3GpoY+1zKUDXoTBj7Hom9Tz84E/kcamkH&#10;c+Zy18k0STLpTEv8oTE93jVYHbZHp2H18PG0uv+urT9kzy9uutmpx5nX+vZmkixARLzEvzD84jM6&#10;lMy090eyQXQaRirlJOvTDAT7SqVzEHsW5jOQZSH/Dyh/AFBLAwQUAAAACACHTuJAHrCEpu4BAAC6&#10;AwAADgAAAGRycy9lMm9Eb2MueG1srVNLjhMxEN0jcQfLe9I9gYSolc4sJoQNgkh89hV/0pb8k+2k&#10;k0twASR2sGLJfm7DcAzK7iYaYIMQvShVdZWfq149L69PRpOjCFE529KrSU2JsMxxZfctfftm82hB&#10;SUxgOWhnRUvPItLr1cMHy943Yuo6p7kIBEFsbHrf0i4l31RVZJ0wECfOC4tJ6YKBhGHYVzxAj+hG&#10;V9O6nle9C9wHx0SM+Hc9JOmq4EspWHolZRSJ6JZib6nYUOwu22q1hGYfwHeKjW3AP3RhQFm89AK1&#10;hgTkENQfUEax4KKTacKcqZyUiokyA05zVf82zesOvCizIDnRX2iK/w+WvTxuA1Ecd1dP55RYMLil&#10;uw9fv73/9P32I9q7L59JySFVvY8Nnrix2zBG0W9DnvskgyFSK/+upSkcctfQ4HjkVLg+X7gWp0QY&#10;/pzNZ4snixklDHPTef14lndRDUj5sA8xPRfOkOy0VCs7gMLxRUxD6c+SXK4t6RFoMXuaMQGlJDUk&#10;dI3H4aLdl46i04pvlNb5SAz73Y0O5Agojs2mxm/s4ZeyfMsaYjfUldQgm+AOlmMn0HQC+DPLSTp7&#10;ZM+i0mnuxghOiRb4MLJXKhMo/TeVSIS2GVoUEY8jZ/4HxrO3c/xcFlHlCAVS+BvFnBV4P0b//pNb&#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r5kXD2gAAAAgBAAAPAAAAAAAAAAEAIAAAADgAAABk&#10;cnMvZG93bnJldi54bWxQSwECFAAUAAAACACHTuJAHrCEpu4BAAC6AwAADgAAAAAAAAABACAAAAA/&#10;AQAAZHJzL2Uyb0RvYy54bWxQSwUGAAAAAAYABgBZAQAAnwUAAAAA&#10;">
                <v:fill on="f" focussize="0,0"/>
                <v:stroke weight="2.25pt" color="#FF0000" joinstyle="round"/>
                <v:imagedata o:title=""/>
                <o:lock v:ext="edit" aspectratio="f"/>
              </v:line>
            </w:pict>
          </mc:Fallback>
        </mc:AlternateContent>
      </w:r>
    </w:p>
    <w:p>
      <w:pPr>
        <w:keepNext w:val="0"/>
        <w:keepLines w:val="0"/>
        <w:pageBreakBefore w:val="0"/>
        <w:kinsoku/>
        <w:wordWrap/>
        <w:topLinePunct w:val="0"/>
        <w:bidi w:val="0"/>
        <w:spacing w:line="60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kinsoku/>
        <w:wordWrap/>
        <w:topLinePunct w:val="0"/>
        <w:bidi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绍兴市农业农村局等</w:t>
      </w:r>
      <w:r>
        <w:rPr>
          <w:rFonts w:ascii="方正小标宋简体" w:hAnsi="方正小标宋简体" w:eastAsia="方正小标宋简体" w:cs="方正小标宋简体"/>
          <w:sz w:val="44"/>
          <w:szCs w:val="44"/>
        </w:rPr>
        <w:t>5</w:t>
      </w:r>
      <w:r>
        <w:rPr>
          <w:rFonts w:hint="eastAsia" w:ascii="方正小标宋简体" w:hAnsi="方正小标宋简体" w:eastAsia="方正小标宋简体" w:cs="方正小标宋简体"/>
          <w:sz w:val="44"/>
          <w:szCs w:val="44"/>
        </w:rPr>
        <w:t>部门关于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切实抓好2022年粮油生产保供工作的通知</w:t>
      </w:r>
    </w:p>
    <w:p>
      <w:pPr>
        <w:pStyle w:val="2"/>
      </w:pPr>
    </w:p>
    <w:p>
      <w:pPr>
        <w:keepNext w:val="0"/>
        <w:keepLines w:val="0"/>
        <w:pageBreakBefore w:val="0"/>
        <w:kinsoku/>
        <w:wordWrap/>
        <w:topLinePunct w:val="0"/>
        <w:bidi w:val="0"/>
        <w:spacing w:line="600" w:lineRule="exact"/>
        <w:textAlignment w:val="auto"/>
        <w:rPr>
          <w:rFonts w:eastAsia="仿宋_GB2312"/>
          <w:sz w:val="32"/>
          <w:szCs w:val="32"/>
        </w:rPr>
      </w:pPr>
      <w:r>
        <w:rPr>
          <w:rFonts w:eastAsia="仿宋_GB2312"/>
          <w:sz w:val="32"/>
          <w:szCs w:val="32"/>
        </w:rPr>
        <w:t>各区、县（市）</w:t>
      </w:r>
      <w:r>
        <w:rPr>
          <w:rFonts w:hint="eastAsia" w:eastAsia="仿宋_GB2312"/>
          <w:sz w:val="32"/>
          <w:szCs w:val="32"/>
        </w:rPr>
        <w:t>人民政府，市级有关单位</w:t>
      </w:r>
      <w:r>
        <w:rPr>
          <w:rFonts w:eastAsia="仿宋_GB2312"/>
          <w:sz w:val="32"/>
          <w:szCs w:val="32"/>
        </w:rPr>
        <w:t>：</w:t>
      </w:r>
    </w:p>
    <w:p>
      <w:pPr>
        <w:keepNext w:val="0"/>
        <w:keepLines w:val="0"/>
        <w:pageBreakBefore w:val="0"/>
        <w:kinsoku/>
        <w:wordWrap/>
        <w:topLinePunct w:val="0"/>
        <w:bidi w:val="0"/>
        <w:spacing w:line="600" w:lineRule="exact"/>
        <w:ind w:firstLine="640" w:firstLineChars="200"/>
        <w:textAlignment w:val="auto"/>
        <w:rPr>
          <w:rFonts w:eastAsia="仿宋_GB2312"/>
          <w:kern w:val="0"/>
          <w:sz w:val="32"/>
          <w:szCs w:val="32"/>
        </w:rPr>
      </w:pPr>
      <w:r>
        <w:rPr>
          <w:rFonts w:eastAsia="仿宋_GB2312"/>
          <w:kern w:val="0"/>
          <w:sz w:val="32"/>
          <w:szCs w:val="32"/>
        </w:rPr>
        <w:t>为稳定发展粮油生产，确保我市粮食安全，根据《浙江省农业农村厅等</w:t>
      </w:r>
      <w:r>
        <w:rPr>
          <w:rFonts w:hint="eastAsia" w:eastAsia="仿宋_GB2312"/>
          <w:kern w:val="0"/>
          <w:sz w:val="32"/>
          <w:szCs w:val="32"/>
        </w:rPr>
        <w:t>6</w:t>
      </w:r>
      <w:r>
        <w:rPr>
          <w:rFonts w:eastAsia="仿宋_GB2312"/>
          <w:kern w:val="0"/>
          <w:sz w:val="32"/>
          <w:szCs w:val="32"/>
        </w:rPr>
        <w:t>部门关于切实抓好202</w:t>
      </w:r>
      <w:r>
        <w:rPr>
          <w:rFonts w:hint="eastAsia" w:eastAsia="仿宋_GB2312"/>
          <w:kern w:val="0"/>
          <w:sz w:val="32"/>
          <w:szCs w:val="32"/>
        </w:rPr>
        <w:t>2</w:t>
      </w:r>
      <w:r>
        <w:rPr>
          <w:rFonts w:eastAsia="仿宋_GB2312"/>
          <w:kern w:val="0"/>
          <w:sz w:val="32"/>
          <w:szCs w:val="32"/>
        </w:rPr>
        <w:t>年粮油生产保供工作的通知》（浙农专发〔202</w:t>
      </w:r>
      <w:r>
        <w:rPr>
          <w:rFonts w:hint="eastAsia" w:eastAsia="仿宋_GB2312"/>
          <w:kern w:val="0"/>
          <w:sz w:val="32"/>
          <w:szCs w:val="32"/>
        </w:rPr>
        <w:t>2</w:t>
      </w:r>
      <w:r>
        <w:rPr>
          <w:rFonts w:eastAsia="仿宋_GB2312"/>
          <w:kern w:val="0"/>
          <w:sz w:val="32"/>
          <w:szCs w:val="32"/>
        </w:rPr>
        <w:t>〕</w:t>
      </w:r>
      <w:r>
        <w:rPr>
          <w:rFonts w:hint="eastAsia" w:eastAsia="仿宋_GB2312"/>
          <w:kern w:val="0"/>
          <w:sz w:val="32"/>
          <w:szCs w:val="32"/>
        </w:rPr>
        <w:t>2</w:t>
      </w:r>
      <w:r>
        <w:rPr>
          <w:rFonts w:eastAsia="仿宋_GB2312"/>
          <w:kern w:val="0"/>
          <w:sz w:val="32"/>
          <w:szCs w:val="32"/>
        </w:rPr>
        <w:t>号）</w:t>
      </w:r>
      <w:r>
        <w:rPr>
          <w:rFonts w:hint="eastAsia" w:eastAsia="仿宋_GB2312"/>
          <w:kern w:val="0"/>
          <w:sz w:val="32"/>
          <w:szCs w:val="32"/>
        </w:rPr>
        <w:t>和《浙江省农业农村厅关于下达2022年大豆生产目标任务的通知》（</w:t>
      </w:r>
      <w:r>
        <w:rPr>
          <w:rFonts w:hint="eastAsia" w:ascii="仿宋_GB2312" w:eastAsia="仿宋_GB2312"/>
          <w:sz w:val="32"/>
          <w:szCs w:val="32"/>
        </w:rPr>
        <w:t>浙农专发〔2022〕4号</w:t>
      </w:r>
      <w:r>
        <w:rPr>
          <w:rFonts w:hint="eastAsia" w:eastAsia="仿宋_GB2312"/>
          <w:kern w:val="0"/>
          <w:sz w:val="32"/>
          <w:szCs w:val="32"/>
        </w:rPr>
        <w:t>）</w:t>
      </w:r>
      <w:r>
        <w:rPr>
          <w:rFonts w:eastAsia="仿宋_GB2312"/>
          <w:kern w:val="0"/>
          <w:sz w:val="32"/>
          <w:szCs w:val="32"/>
        </w:rPr>
        <w:t>，经市政府同意，现就抓好202</w:t>
      </w:r>
      <w:r>
        <w:rPr>
          <w:rFonts w:hint="eastAsia" w:eastAsia="仿宋_GB2312"/>
          <w:kern w:val="0"/>
          <w:sz w:val="32"/>
          <w:szCs w:val="32"/>
        </w:rPr>
        <w:t>2</w:t>
      </w:r>
      <w:r>
        <w:rPr>
          <w:rFonts w:eastAsia="仿宋_GB2312"/>
          <w:kern w:val="0"/>
          <w:sz w:val="32"/>
          <w:szCs w:val="32"/>
        </w:rPr>
        <w:t>年粮油生产保供工作通知如下：</w:t>
      </w:r>
    </w:p>
    <w:p>
      <w:pPr>
        <w:keepNext w:val="0"/>
        <w:keepLines w:val="0"/>
        <w:pageBreakBefore w:val="0"/>
        <w:kinsoku/>
        <w:wordWrap/>
        <w:topLinePunct w:val="0"/>
        <w:bidi w:val="0"/>
        <w:spacing w:line="600" w:lineRule="exact"/>
        <w:ind w:firstLine="640" w:firstLineChars="200"/>
        <w:textAlignment w:val="auto"/>
        <w:rPr>
          <w:rFonts w:eastAsia="黑体"/>
          <w:kern w:val="0"/>
          <w:sz w:val="32"/>
          <w:szCs w:val="32"/>
        </w:rPr>
      </w:pPr>
      <w:r>
        <w:rPr>
          <w:rFonts w:eastAsia="黑体"/>
          <w:kern w:val="0"/>
          <w:sz w:val="32"/>
          <w:szCs w:val="32"/>
        </w:rPr>
        <w:t>一、目标</w:t>
      </w:r>
      <w:r>
        <w:rPr>
          <w:rFonts w:hint="eastAsia" w:eastAsia="黑体"/>
          <w:kern w:val="0"/>
          <w:sz w:val="32"/>
          <w:szCs w:val="32"/>
        </w:rPr>
        <w:t>任务</w:t>
      </w:r>
    </w:p>
    <w:p>
      <w:pPr>
        <w:keepNext w:val="0"/>
        <w:keepLines w:val="0"/>
        <w:pageBreakBefore w:val="0"/>
        <w:kinsoku/>
        <w:wordWrap/>
        <w:topLinePunct w:val="0"/>
        <w:bidi w:val="0"/>
        <w:spacing w:line="600" w:lineRule="exact"/>
        <w:ind w:firstLine="640" w:firstLineChars="200"/>
        <w:textAlignment w:val="auto"/>
        <w:rPr>
          <w:rFonts w:eastAsia="仿宋_GB2312"/>
          <w:kern w:val="0"/>
          <w:sz w:val="32"/>
          <w:szCs w:val="32"/>
        </w:rPr>
      </w:pPr>
      <w:r>
        <w:rPr>
          <w:rFonts w:hint="eastAsia" w:eastAsia="仿宋_GB2312"/>
          <w:kern w:val="0"/>
          <w:sz w:val="32"/>
          <w:szCs w:val="32"/>
        </w:rPr>
        <w:t>落实粮食播种面积184.4万亩、总产量</w:t>
      </w:r>
      <w:r>
        <w:rPr>
          <w:rFonts w:eastAsia="仿宋_GB2312"/>
          <w:kern w:val="0"/>
          <w:sz w:val="32"/>
          <w:szCs w:val="32"/>
        </w:rPr>
        <w:t>80.05</w:t>
      </w:r>
      <w:r>
        <w:rPr>
          <w:rFonts w:hint="eastAsia" w:eastAsia="仿宋_GB2312"/>
          <w:kern w:val="0"/>
          <w:sz w:val="32"/>
          <w:szCs w:val="32"/>
        </w:rPr>
        <w:t>万吨（其中大豆播种面积1</w:t>
      </w:r>
      <w:r>
        <w:rPr>
          <w:rFonts w:eastAsia="仿宋_GB2312"/>
          <w:kern w:val="0"/>
          <w:sz w:val="32"/>
          <w:szCs w:val="32"/>
        </w:rPr>
        <w:t>5.36</w:t>
      </w:r>
      <w:r>
        <w:rPr>
          <w:rFonts w:hint="eastAsia" w:eastAsia="仿宋_GB2312"/>
          <w:kern w:val="0"/>
          <w:sz w:val="32"/>
          <w:szCs w:val="32"/>
        </w:rPr>
        <w:t>万亩、产量3</w:t>
      </w:r>
      <w:r>
        <w:rPr>
          <w:rFonts w:eastAsia="仿宋_GB2312"/>
          <w:kern w:val="0"/>
          <w:sz w:val="32"/>
          <w:szCs w:val="32"/>
        </w:rPr>
        <w:t>.08</w:t>
      </w:r>
      <w:r>
        <w:rPr>
          <w:rFonts w:hint="eastAsia" w:eastAsia="仿宋_GB2312"/>
          <w:kern w:val="0"/>
          <w:sz w:val="32"/>
          <w:szCs w:val="32"/>
        </w:rPr>
        <w:t>万吨），油菜播种面积16.42万亩、总产量</w:t>
      </w:r>
      <w:r>
        <w:rPr>
          <w:rFonts w:eastAsia="仿宋_GB2312"/>
          <w:kern w:val="0"/>
          <w:sz w:val="32"/>
          <w:szCs w:val="32"/>
        </w:rPr>
        <w:t>2.45</w:t>
      </w:r>
      <w:r>
        <w:rPr>
          <w:rFonts w:hint="eastAsia" w:eastAsia="仿宋_GB2312"/>
          <w:kern w:val="0"/>
          <w:sz w:val="32"/>
          <w:szCs w:val="32"/>
        </w:rPr>
        <w:t>万吨。全市政府粮食储备规模</w:t>
      </w:r>
      <w:r>
        <w:rPr>
          <w:rFonts w:eastAsia="仿宋_GB2312"/>
          <w:kern w:val="0"/>
          <w:sz w:val="32"/>
          <w:szCs w:val="32"/>
        </w:rPr>
        <w:t>42.41</w:t>
      </w:r>
      <w:r>
        <w:rPr>
          <w:rFonts w:hint="eastAsia" w:eastAsia="仿宋_GB2312"/>
          <w:kern w:val="0"/>
          <w:sz w:val="32"/>
          <w:szCs w:val="32"/>
        </w:rPr>
        <w:t>万吨。全市水稻、小麦等主粮作物政策性农业保险参保率均达到70%以上。</w:t>
      </w:r>
    </w:p>
    <w:p>
      <w:pPr>
        <w:keepNext w:val="0"/>
        <w:keepLines w:val="0"/>
        <w:pageBreakBefore w:val="0"/>
        <w:kinsoku/>
        <w:wordWrap/>
        <w:topLinePunct w:val="0"/>
        <w:bidi w:val="0"/>
        <w:spacing w:line="600" w:lineRule="exact"/>
        <w:ind w:firstLine="640" w:firstLineChars="200"/>
        <w:textAlignment w:val="auto"/>
        <w:rPr>
          <w:rFonts w:ascii="黑体" w:hAnsi="宋体" w:eastAsia="黑体" w:cs="黑体"/>
          <w:kern w:val="0"/>
          <w:sz w:val="32"/>
          <w:szCs w:val="32"/>
        </w:rPr>
      </w:pPr>
      <w:r>
        <w:rPr>
          <w:rFonts w:hint="eastAsia" w:ascii="黑体" w:hAnsi="宋体" w:eastAsia="黑体" w:cs="黑体"/>
          <w:kern w:val="0"/>
          <w:sz w:val="32"/>
          <w:szCs w:val="32"/>
          <w:lang w:bidi="ar"/>
        </w:rPr>
        <w:t>二、工作重点</w:t>
      </w:r>
    </w:p>
    <w:p>
      <w:pPr>
        <w:keepNext w:val="0"/>
        <w:keepLines w:val="0"/>
        <w:pageBreakBefore w:val="0"/>
        <w:kinsoku/>
        <w:wordWrap/>
        <w:topLinePunct w:val="0"/>
        <w:bidi w:val="0"/>
        <w:spacing w:line="600" w:lineRule="exact"/>
        <w:ind w:firstLine="640" w:firstLineChars="200"/>
        <w:textAlignment w:val="auto"/>
        <w:rPr>
          <w:rFonts w:ascii="仿宋_GB2312" w:eastAsia="仿宋_GB2312" w:cs="仿宋_GB2312"/>
          <w:kern w:val="0"/>
          <w:sz w:val="32"/>
          <w:szCs w:val="32"/>
        </w:rPr>
      </w:pPr>
      <w:r>
        <w:rPr>
          <w:rFonts w:hint="eastAsia" w:ascii="楷体_GB2312" w:eastAsia="楷体_GB2312" w:cs="宋体"/>
          <w:bCs/>
          <w:kern w:val="0"/>
          <w:sz w:val="32"/>
          <w:szCs w:val="32"/>
          <w:lang w:bidi="ar"/>
        </w:rPr>
        <w:t>（一）加强耕地保护和建设。</w:t>
      </w:r>
      <w:r>
        <w:rPr>
          <w:rFonts w:hint="eastAsia" w:eastAsia="仿宋_GB2312"/>
          <w:kern w:val="0"/>
          <w:sz w:val="32"/>
          <w:szCs w:val="32"/>
        </w:rPr>
        <w:t>落实最严格的耕地保护制度，立足数量、质量、生态“三位一体”保护建设，进一步健全落实长效保护机制。加强耕地质量建设，加快推进乡村全域土地综合整治和生态修复，统筹实施永久基本农田集中连片整治、高标准农田建设等项目，开展绿色农田建设试点，引导扩种绿肥、增施有机肥，提升耕地地力。强化耕地用途管制，坚决制止耕地“非农化”，防止耕地“非粮化”，坚决遏制增量、妥善处置存量、严格治理抛荒，全面完成粮食生产功能区“非粮化”整治优化任务，加快促进耕地复耕复种。</w:t>
      </w:r>
    </w:p>
    <w:p>
      <w:pPr>
        <w:keepNext w:val="0"/>
        <w:keepLines w:val="0"/>
        <w:pageBreakBefore w:val="0"/>
        <w:kinsoku/>
        <w:wordWrap/>
        <w:topLinePunct w:val="0"/>
        <w:bidi w:val="0"/>
        <w:spacing w:line="600" w:lineRule="exact"/>
        <w:ind w:firstLine="640" w:firstLineChars="200"/>
        <w:textAlignment w:val="auto"/>
        <w:rPr>
          <w:rFonts w:eastAsia="仿宋_GB2312"/>
          <w:kern w:val="0"/>
          <w:sz w:val="32"/>
          <w:szCs w:val="32"/>
        </w:rPr>
      </w:pPr>
      <w:r>
        <w:rPr>
          <w:rFonts w:hint="eastAsia" w:ascii="楷体_GB2312" w:eastAsia="楷体_GB2312" w:cs="宋体"/>
          <w:bCs/>
          <w:kern w:val="0"/>
          <w:sz w:val="32"/>
          <w:szCs w:val="32"/>
          <w:lang w:bidi="ar"/>
        </w:rPr>
        <w:t>（二）推进农业“双强”行动。</w:t>
      </w:r>
      <w:r>
        <w:rPr>
          <w:rFonts w:hint="eastAsia" w:eastAsia="仿宋_GB2312"/>
          <w:kern w:val="0"/>
          <w:sz w:val="32"/>
          <w:szCs w:val="32"/>
        </w:rPr>
        <w:t>进一步加大优质新品种选育力度，推广高产优质、多抗广适、低损收获品种，扩大优质粮油作物种植面积，良种覆盖率达到98%以上。深入实施“肥药两制”改革，大力推进测土配方施肥和病虫害绿色防控，实行肥药使用减量增效。进一步推进粮食生产降本增效，推动良田、良种、良技、良机、良法配套融合，创新稻经轮作、稻渔共生等“千斤粮万元钱”水稻综合种养模式，构建绿色种植制度，加强粮油生产新技术、新模式集成应用，广泛开展绿色高产高效行动，提高亩产水平和产品质量。进一步提高生产效率，加快引进推广适应丘陵山区粮油生产机械装备，全面推进粮油生产全程机械化作业，水稻耕种收综合机械化率达</w:t>
      </w:r>
      <w:r>
        <w:rPr>
          <w:rFonts w:eastAsia="仿宋_GB2312"/>
          <w:kern w:val="0"/>
          <w:sz w:val="32"/>
          <w:szCs w:val="32"/>
        </w:rPr>
        <w:t>88</w:t>
      </w:r>
      <w:r>
        <w:rPr>
          <w:rFonts w:hint="eastAsia" w:eastAsia="仿宋_GB2312"/>
          <w:kern w:val="0"/>
          <w:sz w:val="32"/>
          <w:szCs w:val="32"/>
        </w:rPr>
        <w:t>%以上。进一步推进粮食节约降耗减损，推广精准播种、收获和管理技术装备，强化病虫害防控和自然灾害防灾减灾，减少生产损耗和因灾损失。</w:t>
      </w:r>
    </w:p>
    <w:p>
      <w:pPr>
        <w:pStyle w:val="14"/>
        <w:keepNext w:val="0"/>
        <w:keepLines w:val="0"/>
        <w:pageBreakBefore w:val="0"/>
        <w:widowControl/>
        <w:kinsoku/>
        <w:wordWrap/>
        <w:topLinePunct w:val="0"/>
        <w:bidi w:val="0"/>
        <w:spacing w:line="600" w:lineRule="exact"/>
        <w:ind w:firstLine="640" w:firstLineChars="200"/>
        <w:jc w:val="both"/>
        <w:textAlignment w:val="auto"/>
        <w:rPr>
          <w:rFonts w:eastAsia="仿宋_GB2312"/>
          <w:color w:val="auto"/>
          <w:sz w:val="32"/>
          <w:szCs w:val="32"/>
        </w:rPr>
      </w:pPr>
      <w:r>
        <w:rPr>
          <w:rFonts w:ascii="楷体_GB2312" w:eastAsia="楷体_GB2312" w:cs="宋体"/>
          <w:bCs/>
          <w:color w:val="auto"/>
          <w:sz w:val="32"/>
          <w:szCs w:val="32"/>
        </w:rPr>
        <w:t>（三）</w:t>
      </w:r>
      <w:r>
        <w:rPr>
          <w:rFonts w:hint="eastAsia" w:ascii="楷体_GB2312" w:eastAsia="楷体_GB2312" w:cs="宋体"/>
          <w:bCs/>
          <w:color w:val="auto"/>
          <w:sz w:val="32"/>
          <w:szCs w:val="32"/>
        </w:rPr>
        <w:t>推动</w:t>
      </w:r>
      <w:r>
        <w:rPr>
          <w:rFonts w:ascii="楷体_GB2312" w:eastAsia="楷体_GB2312" w:cs="宋体"/>
          <w:bCs/>
          <w:color w:val="auto"/>
          <w:sz w:val="32"/>
          <w:szCs w:val="32"/>
        </w:rPr>
        <w:t>经营机制创新</w:t>
      </w:r>
      <w:r>
        <w:rPr>
          <w:rFonts w:hint="eastAsia" w:ascii="楷体_GB2312" w:eastAsia="楷体_GB2312" w:cs="宋体"/>
          <w:bCs/>
          <w:color w:val="auto"/>
          <w:sz w:val="32"/>
          <w:szCs w:val="32"/>
        </w:rPr>
        <w:t>。</w:t>
      </w:r>
      <w:r>
        <w:rPr>
          <w:rFonts w:hint="eastAsia" w:eastAsia="仿宋_GB2312"/>
          <w:color w:val="auto"/>
          <w:sz w:val="32"/>
          <w:szCs w:val="32"/>
        </w:rPr>
        <w:t>进一步培育种粮大户、家庭农场和农民专业合作社等粮食生产主体，打造</w:t>
      </w:r>
      <w:r>
        <w:rPr>
          <w:rFonts w:eastAsia="仿宋_GB2312"/>
          <w:color w:val="auto"/>
          <w:sz w:val="32"/>
          <w:szCs w:val="32"/>
        </w:rPr>
        <w:t>生产主力军、主平台、主产区</w:t>
      </w:r>
      <w:r>
        <w:rPr>
          <w:rFonts w:hint="eastAsia" w:eastAsia="仿宋_GB2312"/>
          <w:color w:val="auto"/>
          <w:sz w:val="32"/>
          <w:szCs w:val="32"/>
        </w:rPr>
        <w:t>，鼓励粮食生产功能区提高粮食复种指数，推动产粮大县、产粮大镇多种、种好粮食，种粮规模化率达40%以上。进一步创新完善土地流转机制，发挥村级组织的组织协调作用，推行整村流转、粮食生产功能区整区流转；引导工商企业、“两进两回”人员集中连片流转土地发展粮食生产，支持大型用粮主体建立粮食生产基地；鼓励村集体统一组织粮食生产；探索土地流转不同用途的差别化租金制度和租金调节机制，试点建立流转土地种植粮食作物的租金指导价格和财政补贴机制。大力发展农业社会化服务体系，支持建设区域性统一育供秧、农机作业、植保、烘干等服务中心，推动种粮主体共置共享农资服务。推进产加销一体化经营，支持规模化种粮主体开展粮食自行加工、自创品牌、自主营销，延伸产业链，提高经营收益。</w:t>
      </w:r>
    </w:p>
    <w:p>
      <w:pPr>
        <w:keepNext w:val="0"/>
        <w:keepLines w:val="0"/>
        <w:pageBreakBefore w:val="0"/>
        <w:widowControl/>
        <w:kinsoku/>
        <w:wordWrap/>
        <w:topLinePunct w:val="0"/>
        <w:bidi w:val="0"/>
        <w:spacing w:line="600" w:lineRule="exact"/>
        <w:ind w:firstLine="640" w:firstLineChars="200"/>
        <w:textAlignment w:val="auto"/>
        <w:rPr>
          <w:rFonts w:eastAsia="仿宋_GB2312"/>
          <w:kern w:val="0"/>
          <w:sz w:val="32"/>
          <w:szCs w:val="32"/>
        </w:rPr>
      </w:pPr>
      <w:r>
        <w:rPr>
          <w:rFonts w:hint="eastAsia" w:ascii="楷体_GB2312" w:eastAsia="楷体_GB2312" w:cs="宋体"/>
          <w:bCs/>
          <w:kern w:val="0"/>
          <w:sz w:val="32"/>
          <w:szCs w:val="32"/>
          <w:lang w:bidi="ar"/>
        </w:rPr>
        <w:t>（四）强化储备管理。</w:t>
      </w:r>
      <w:r>
        <w:rPr>
          <w:rFonts w:hint="eastAsia" w:eastAsia="仿宋_GB2312"/>
          <w:kern w:val="0"/>
          <w:sz w:val="32"/>
          <w:szCs w:val="32"/>
        </w:rPr>
        <w:t>全面落实省下达的粮食储备任务，各月末实际库存不低于储备规模的70%。着力实施“255工程”，重点支持粮食批发、加工、贸易企业等粮食流通主渠道企业做大做强做优，全市力争打造</w:t>
      </w:r>
      <w:r>
        <w:rPr>
          <w:rFonts w:eastAsia="仿宋_GB2312"/>
          <w:kern w:val="0"/>
          <w:sz w:val="32"/>
          <w:szCs w:val="32"/>
        </w:rPr>
        <w:t xml:space="preserve"> </w:t>
      </w:r>
      <w:r>
        <w:rPr>
          <w:rFonts w:hint="eastAsia" w:eastAsia="仿宋_GB2312"/>
          <w:kern w:val="0"/>
          <w:sz w:val="32"/>
          <w:szCs w:val="32"/>
        </w:rPr>
        <w:t>3</w:t>
      </w:r>
      <w:r>
        <w:rPr>
          <w:rFonts w:eastAsia="仿宋_GB2312"/>
          <w:kern w:val="0"/>
          <w:sz w:val="32"/>
          <w:szCs w:val="32"/>
        </w:rPr>
        <w:t xml:space="preserve"> </w:t>
      </w:r>
      <w:r>
        <w:rPr>
          <w:rFonts w:hint="eastAsia" w:eastAsia="仿宋_GB2312"/>
          <w:kern w:val="0"/>
          <w:sz w:val="32"/>
          <w:szCs w:val="32"/>
        </w:rPr>
        <w:t>家现代化粮食批发市场、10家粮食保供稳价骨干企业，在省外建立35万亩稳固粮源基地。加强“优质粮食工程”建设，深入推进“五优联动”提质扩面，全市“五优联动”实施规模力争达到6.33万亩，创建示范县</w:t>
      </w:r>
      <w:r>
        <w:rPr>
          <w:rFonts w:eastAsia="仿宋_GB2312"/>
          <w:kern w:val="0"/>
          <w:sz w:val="32"/>
          <w:szCs w:val="32"/>
        </w:rPr>
        <w:t xml:space="preserve"> </w:t>
      </w:r>
      <w:r>
        <w:rPr>
          <w:rFonts w:hint="eastAsia" w:eastAsia="仿宋_GB2312"/>
          <w:kern w:val="0"/>
          <w:sz w:val="32"/>
          <w:szCs w:val="32"/>
        </w:rPr>
        <w:t>1</w:t>
      </w:r>
      <w:r>
        <w:rPr>
          <w:rFonts w:eastAsia="仿宋_GB2312"/>
          <w:kern w:val="0"/>
          <w:sz w:val="32"/>
          <w:szCs w:val="32"/>
        </w:rPr>
        <w:t xml:space="preserve"> </w:t>
      </w:r>
      <w:r>
        <w:rPr>
          <w:rFonts w:hint="eastAsia" w:eastAsia="仿宋_GB2312"/>
          <w:kern w:val="0"/>
          <w:sz w:val="32"/>
          <w:szCs w:val="32"/>
        </w:rPr>
        <w:t>个。培育“浙江好粮油”产品和优质粮油品牌，拓展线上线下营销渠道，全力打造优质粮食产业链。</w:t>
      </w:r>
    </w:p>
    <w:p>
      <w:pPr>
        <w:keepNext w:val="0"/>
        <w:keepLines w:val="0"/>
        <w:pageBreakBefore w:val="0"/>
        <w:kinsoku/>
        <w:wordWrap/>
        <w:overflowPunct w:val="0"/>
        <w:topLinePunct w:val="0"/>
        <w:bidi w:val="0"/>
        <w:snapToGrid w:val="0"/>
        <w:spacing w:line="600" w:lineRule="exact"/>
        <w:ind w:firstLine="640" w:firstLineChars="200"/>
        <w:textAlignment w:val="auto"/>
        <w:rPr>
          <w:rFonts w:eastAsia="仿宋_GB2312"/>
          <w:kern w:val="0"/>
          <w:sz w:val="32"/>
          <w:szCs w:val="32"/>
        </w:rPr>
      </w:pPr>
      <w:r>
        <w:rPr>
          <w:rFonts w:hint="eastAsia" w:ascii="楷体_GB2312" w:eastAsia="楷体_GB2312" w:cs="宋体"/>
          <w:bCs/>
          <w:kern w:val="0"/>
          <w:sz w:val="32"/>
          <w:szCs w:val="32"/>
          <w:lang w:bidi="ar"/>
        </w:rPr>
        <w:t>（五）</w:t>
      </w:r>
      <w:r>
        <w:rPr>
          <w:rFonts w:hint="eastAsia" w:ascii="仿宋_GB2312" w:eastAsia="仿宋_GB2312"/>
          <w:bCs/>
          <w:kern w:val="0"/>
          <w:sz w:val="32"/>
          <w:szCs w:val="32"/>
        </w:rPr>
        <w:t>提升数字化水平。积极贯通“浙政粮安”“浙江粮仓”“浙农粮”“浙农种业”“浙农服”等省级数字化应用建设，推动嵊州粮食数字化平台迭代上线，实时掌握粮食生产、储备、供应等动态，推进粮食各环节数字化技术应用，提升粮食生产、储备、供应、耕地地力、作物生长、病虫害等数字化、智能化监测水平。大力推进服务数字化，加强技术推广、农机作业、政策落实、防灾减灾、粮食收购、好粮油供应等在线服务。鼓励经营主体打造、运用数字化应用场景，加大数字农场建设，提升粮食生产基地数字化水平。加强规模种粮主体数字化技术培训，提高农民数字化应用能力。</w:t>
      </w:r>
    </w:p>
    <w:p>
      <w:pPr>
        <w:keepNext w:val="0"/>
        <w:keepLines w:val="0"/>
        <w:pageBreakBefore w:val="0"/>
        <w:kinsoku/>
        <w:wordWrap/>
        <w:overflowPunct w:val="0"/>
        <w:topLinePunct w:val="0"/>
        <w:bidi w:val="0"/>
        <w:snapToGrid w:val="0"/>
        <w:spacing w:line="600" w:lineRule="exact"/>
        <w:ind w:firstLine="640" w:firstLineChars="200"/>
        <w:textAlignment w:val="auto"/>
        <w:rPr>
          <w:rFonts w:ascii="黑体" w:hAnsi="宋体" w:eastAsia="黑体" w:cs="宋体"/>
          <w:b/>
          <w:kern w:val="0"/>
          <w:sz w:val="32"/>
          <w:szCs w:val="32"/>
        </w:rPr>
      </w:pPr>
      <w:r>
        <w:rPr>
          <w:rFonts w:hint="eastAsia" w:ascii="黑体" w:hAnsi="宋体" w:eastAsia="黑体" w:cs="黑体"/>
          <w:kern w:val="0"/>
          <w:sz w:val="32"/>
          <w:szCs w:val="32"/>
          <w:lang w:bidi="ar"/>
        </w:rPr>
        <w:t>三、政策保障</w:t>
      </w:r>
    </w:p>
    <w:p>
      <w:pPr>
        <w:pStyle w:val="14"/>
        <w:keepNext w:val="0"/>
        <w:keepLines w:val="0"/>
        <w:pageBreakBefore w:val="0"/>
        <w:widowControl/>
        <w:kinsoku/>
        <w:wordWrap/>
        <w:topLinePunct w:val="0"/>
        <w:bidi w:val="0"/>
        <w:spacing w:line="600" w:lineRule="exact"/>
        <w:ind w:firstLine="640" w:firstLineChars="200"/>
        <w:jc w:val="both"/>
        <w:textAlignment w:val="auto"/>
        <w:rPr>
          <w:rFonts w:ascii="楷体_GB2312" w:eastAsia="楷体_GB2312" w:cs="楷体_GB2312"/>
          <w:color w:val="auto"/>
          <w:sz w:val="32"/>
          <w:szCs w:val="32"/>
        </w:rPr>
      </w:pPr>
      <w:r>
        <w:rPr>
          <w:rFonts w:ascii="楷体_GB2312" w:eastAsia="楷体_GB2312" w:cs="楷体_GB2312"/>
          <w:color w:val="auto"/>
          <w:sz w:val="32"/>
          <w:szCs w:val="32"/>
        </w:rPr>
        <w:t>（一）完善生产扶持政策。</w:t>
      </w:r>
      <w:r>
        <w:rPr>
          <w:rFonts w:eastAsia="仿宋_GB2312"/>
          <w:color w:val="auto"/>
          <w:sz w:val="32"/>
          <w:szCs w:val="32"/>
        </w:rPr>
        <w:t>严格按照中央直达资金管理要求，全面落实中央耕地地力保护补贴政策，强化“谁种粮谁受益，谁多种粮谁多得”导向，鼓励各地优化补贴办法，重点支持种粮农民。耕地保护补偿资金的分配应当向种植粮食的耕地倾斜。鼓励各地对抛荒地、“非粮化”整治地恢复种粮给予补贴</w:t>
      </w:r>
      <w:r>
        <w:rPr>
          <w:rFonts w:hint="eastAsia" w:eastAsia="仿宋_GB2312"/>
          <w:color w:val="auto"/>
          <w:sz w:val="32"/>
          <w:szCs w:val="32"/>
        </w:rPr>
        <w:t>。支持粮食生产功能区“非粮化”整治优化工作,所需资金由各区、县（市）政府结合当地实际安排</w:t>
      </w:r>
      <w:r>
        <w:rPr>
          <w:rFonts w:eastAsia="仿宋_GB2312"/>
          <w:color w:val="auto"/>
          <w:sz w:val="32"/>
          <w:szCs w:val="32"/>
        </w:rPr>
        <w:t>。</w:t>
      </w:r>
      <w:r>
        <w:rPr>
          <w:rFonts w:hint="eastAsia" w:eastAsia="仿宋_GB2312"/>
          <w:color w:val="auto"/>
          <w:sz w:val="32"/>
          <w:szCs w:val="32"/>
        </w:rPr>
        <w:t>加大财政投入力度，对全年稻麦复种或一季旱粮种植或“三园”地间作套种同一旱粮作物（不含大小麦）50亩</w:t>
      </w:r>
      <w:r>
        <w:rPr>
          <w:rFonts w:hint="eastAsia" w:eastAsia="仿宋_GB2312"/>
          <w:color w:val="auto"/>
          <w:sz w:val="32"/>
          <w:szCs w:val="32"/>
          <w:lang w:eastAsia="zh-CN"/>
        </w:rPr>
        <w:t>及</w:t>
      </w:r>
      <w:r>
        <w:rPr>
          <w:rFonts w:hint="eastAsia" w:eastAsia="仿宋_GB2312"/>
          <w:color w:val="auto"/>
          <w:sz w:val="32"/>
          <w:szCs w:val="32"/>
        </w:rPr>
        <w:t>以上的规模种粮主体按实际种植面积给予每亩不低于140元的直接补贴（市区补贴标准为每亩140元）；鼓励早稻生产，各区、县（市）根据当地实际制定相应早稻种植补贴政策。对种植早稻后进行机插连作晚稻面积50亩以上的</w:t>
      </w:r>
      <w:r>
        <w:rPr>
          <w:rFonts w:hint="eastAsia" w:eastAsia="仿宋_GB2312"/>
          <w:color w:val="auto"/>
          <w:sz w:val="32"/>
          <w:szCs w:val="32"/>
          <w:lang w:eastAsia="zh-CN"/>
        </w:rPr>
        <w:t>生产主体</w:t>
      </w:r>
      <w:r>
        <w:rPr>
          <w:rFonts w:hint="eastAsia" w:eastAsia="仿宋_GB2312"/>
          <w:color w:val="auto"/>
          <w:sz w:val="32"/>
          <w:szCs w:val="32"/>
        </w:rPr>
        <w:t>，按机插连作晚稻面积，由各区、县（市）给予每亩50元的补贴。对油菜种植50亩</w:t>
      </w:r>
      <w:r>
        <w:rPr>
          <w:rFonts w:hint="eastAsia" w:eastAsia="仿宋_GB2312"/>
          <w:color w:val="auto"/>
          <w:sz w:val="32"/>
          <w:szCs w:val="32"/>
          <w:lang w:eastAsia="zh-CN"/>
        </w:rPr>
        <w:t>及</w:t>
      </w:r>
      <w:r>
        <w:rPr>
          <w:rFonts w:hint="eastAsia" w:eastAsia="仿宋_GB2312"/>
          <w:color w:val="auto"/>
          <w:sz w:val="32"/>
          <w:szCs w:val="32"/>
        </w:rPr>
        <w:t>以上的规模主体，按实际种植面积给予每亩120元的直接补贴。对购置稻米加工包装设备投资额在30万元及以上且用地规范的经营主体，按设备投资额的50%给予奖补（列入农机购置补贴目录的不再补助），最高不超过30万元；对用植保无人飞机（需列入省农机购置补贴试点产品）开展飞防服务，服务面积超过1000亩次的经营主体，由各区、县（市）给予不低于每亩2.5元的作业奖励。</w:t>
      </w:r>
      <w:r>
        <w:rPr>
          <w:rFonts w:eastAsia="仿宋_GB2312"/>
          <w:color w:val="auto"/>
          <w:sz w:val="32"/>
          <w:szCs w:val="32"/>
        </w:rPr>
        <w:t>探索建立种粮成本测算和种粮补贴动态调整机制。</w:t>
      </w:r>
    </w:p>
    <w:p>
      <w:pPr>
        <w:keepNext w:val="0"/>
        <w:keepLines w:val="0"/>
        <w:pageBreakBefore w:val="0"/>
        <w:kinsoku/>
        <w:wordWrap/>
        <w:topLinePunct w:val="0"/>
        <w:bidi w:val="0"/>
        <w:adjustRightInd w:val="0"/>
        <w:snapToGrid w:val="0"/>
        <w:spacing w:line="600" w:lineRule="exact"/>
        <w:ind w:firstLine="645"/>
        <w:textAlignment w:val="auto"/>
        <w:rPr>
          <w:rFonts w:eastAsia="仿宋_GB2312"/>
          <w:kern w:val="0"/>
          <w:sz w:val="32"/>
          <w:szCs w:val="32"/>
        </w:rPr>
      </w:pPr>
      <w:r>
        <w:rPr>
          <w:rFonts w:hint="eastAsia" w:ascii="楷体_GB2312" w:eastAsia="楷体_GB2312" w:cs="楷体_GB2312"/>
          <w:kern w:val="0"/>
          <w:sz w:val="32"/>
          <w:szCs w:val="32"/>
          <w:lang w:bidi="ar"/>
        </w:rPr>
        <w:t>（二）落实收购和订单奖励政策。</w:t>
      </w:r>
      <w:r>
        <w:rPr>
          <w:rFonts w:hint="eastAsia" w:ascii="仿宋_GB2312" w:eastAsia="仿宋_GB2312" w:cs="仿宋_GB2312"/>
          <w:kern w:val="0"/>
          <w:sz w:val="32"/>
          <w:szCs w:val="32"/>
          <w:lang w:bidi="ar"/>
        </w:rPr>
        <w:t>严格执行省定小麦、稻谷最低收购价政策。各级财政对按订单向国有粮食收储企业交售稻谷和小麦的种粮主体给予奖励。市内早稻实行订单全覆盖，全市统一早稻订单奖励，每百斤奖励30元；市级晚稻订单每百斤奖励20元，每亩不超过180元，区、县（市）订单奖励标准原则上不低于上年水平。全市粮食订单向粮食生产功能区种粮农民倾斜，早稻订单实行按品种、粒型收购，晚稻订单实行分品种收购、分仓储存。</w:t>
      </w:r>
      <w:r>
        <w:rPr>
          <w:rFonts w:hint="eastAsia" w:ascii="仿宋_GB2312" w:eastAsia="仿宋_GB2312"/>
          <w:bCs/>
          <w:kern w:val="0"/>
          <w:sz w:val="32"/>
          <w:szCs w:val="32"/>
        </w:rPr>
        <w:t>各地订单粮源在满足本地粮食储备轮换的基础上,实行带订单奖励余缺调剂</w:t>
      </w:r>
      <w:r>
        <w:rPr>
          <w:rFonts w:hint="eastAsia" w:ascii="仿宋_GB2312" w:eastAsia="仿宋_GB2312" w:cs="仿宋_GB2312"/>
          <w:kern w:val="0"/>
          <w:sz w:val="32"/>
          <w:szCs w:val="32"/>
          <w:lang w:bidi="ar"/>
        </w:rPr>
        <w:t>，调剂数量较大且完成任务较好的，省级财政给予奖励。对信用好、具有还贷能力并按订单交售粮食的规模种粮大户，发放粮食预购定金，所需资金由当地农发行提供贷款，按照“谁用粮、谁出钱”的原则给予财政贴息。对与种子企业签订订单合同，并按订单交售水稻、小麦良种的种子生产者，按实际交售种子数量给予奖励，交售每百斤常规水稻种子奖励30元，每亩最高不超过240元；交售每百斤杂交水稻种子奖励100元，每亩最高不超过300元；交售每百斤小麦种子奖励30元，每亩最高不超过150元。</w:t>
      </w:r>
    </w:p>
    <w:p>
      <w:pPr>
        <w:keepNext w:val="0"/>
        <w:keepLines w:val="0"/>
        <w:pageBreakBefore w:val="0"/>
        <w:kinsoku/>
        <w:wordWrap/>
        <w:topLinePunct w:val="0"/>
        <w:bidi w:val="0"/>
        <w:spacing w:line="600" w:lineRule="exact"/>
        <w:ind w:firstLine="640" w:firstLineChars="200"/>
        <w:textAlignment w:val="auto"/>
        <w:rPr>
          <w:rFonts w:ascii="仿宋_GB2312" w:hAnsi="宋体" w:eastAsia="仿宋_GB2312" w:cs="仿宋_GB2312"/>
          <w:sz w:val="32"/>
          <w:szCs w:val="32"/>
          <w:lang w:bidi="ar"/>
        </w:rPr>
      </w:pPr>
      <w:r>
        <w:rPr>
          <w:rFonts w:hint="eastAsia" w:ascii="楷体_GB2312" w:eastAsia="楷体_GB2312" w:cs="楷体_GB2312"/>
          <w:kern w:val="0"/>
          <w:sz w:val="32"/>
          <w:szCs w:val="32"/>
          <w:lang w:bidi="ar"/>
        </w:rPr>
        <w:t>（三）完善生产用地政策。</w:t>
      </w:r>
      <w:r>
        <w:rPr>
          <w:rFonts w:hint="eastAsia" w:eastAsia="仿宋_GB2312"/>
          <w:kern w:val="0"/>
          <w:sz w:val="32"/>
          <w:szCs w:val="32"/>
        </w:rPr>
        <w:t>切实落实设施农业用地政策，对规模化粮食生产经营主体自产稻谷加工、烘干、农资农机具存放等用地予以保障，对粮食生产区域性农机服务组织用地予以保障。鼓励各地对种子加工、粮食仓储、农资经营等建设用地予以支持。</w:t>
      </w:r>
      <w:r>
        <w:rPr>
          <w:rFonts w:eastAsia="仿宋_GB2312"/>
          <w:kern w:val="0"/>
          <w:sz w:val="32"/>
          <w:szCs w:val="32"/>
        </w:rPr>
        <w:t>对省、市外企业在我市投资建设米面油仓库、新建加工线和技术改造的享受市内企业同等政策待遇，并在用地方面给予支持。</w:t>
      </w:r>
    </w:p>
    <w:p>
      <w:pPr>
        <w:keepNext w:val="0"/>
        <w:keepLines w:val="0"/>
        <w:pageBreakBefore w:val="0"/>
        <w:kinsoku/>
        <w:wordWrap/>
        <w:topLinePunct w:val="0"/>
        <w:autoSpaceDE w:val="0"/>
        <w:autoSpaceDN w:val="0"/>
        <w:bidi w:val="0"/>
        <w:spacing w:line="600" w:lineRule="exact"/>
        <w:ind w:firstLine="640" w:firstLineChars="200"/>
        <w:textAlignment w:val="auto"/>
        <w:rPr>
          <w:rFonts w:eastAsia="仿宋_GB2312"/>
          <w:kern w:val="0"/>
          <w:sz w:val="32"/>
          <w:szCs w:val="32"/>
        </w:rPr>
      </w:pPr>
      <w:r>
        <w:rPr>
          <w:rFonts w:hint="eastAsia" w:ascii="楷体_GB2312" w:eastAsia="楷体_GB2312" w:cs="楷体_GB2312"/>
          <w:kern w:val="0"/>
          <w:sz w:val="32"/>
          <w:szCs w:val="32"/>
          <w:lang w:bidi="ar"/>
        </w:rPr>
        <w:t>（四）强化金融保险支持。</w:t>
      </w:r>
      <w:r>
        <w:rPr>
          <w:rFonts w:hint="eastAsia" w:eastAsia="仿宋_GB2312"/>
          <w:kern w:val="0"/>
          <w:sz w:val="32"/>
          <w:szCs w:val="32"/>
        </w:rPr>
        <w:t>2022年开始，全面实施政策性水稻种植完全成本保险，继续实施小麦、油菜种植和杂交水稻制种政策性农业保险政策。加大对产粮大县支持力度，鼓励粮食生产功能区主粮作物保险全覆盖。稳步提高小农户主粮作物保险参保率，鼓励支持整村参保、清单到户。继续执行粮食生产贷款贴息政策，从2022年起，愿意按照《浙江省财政厅 浙江省农业农村厅 浙江省粮食和物资储备局关于优化粮食生产贷款贴息政策的通知》（浙财农〔2020〕18号）要求提供贷款的银行业金融机构，都视同纳入合作银行范围，各地财政、农业农村、粮食等有关部门要及时做好工作衔接，确保政策顺利实施；鼓励各地根据实际加大贴息力度。加大“粮农贷”等专属产品的组织实施，省农业融资担保公司对符合条件的贷款实行优惠担保费率，粮食生产项目年担保费原则上不超过贷款金额的0.5%。</w:t>
      </w:r>
    </w:p>
    <w:p>
      <w:pPr>
        <w:keepNext w:val="0"/>
        <w:keepLines w:val="0"/>
        <w:pageBreakBefore w:val="0"/>
        <w:kinsoku/>
        <w:wordWrap/>
        <w:topLinePunct w:val="0"/>
        <w:bidi w:val="0"/>
        <w:spacing w:line="600" w:lineRule="exact"/>
        <w:ind w:firstLine="640" w:firstLineChars="200"/>
        <w:textAlignment w:val="auto"/>
        <w:rPr>
          <w:rFonts w:ascii="黑体" w:hAnsi="宋体" w:eastAsia="黑体" w:cs="黑体"/>
          <w:bCs/>
          <w:kern w:val="0"/>
          <w:sz w:val="32"/>
          <w:szCs w:val="32"/>
        </w:rPr>
      </w:pPr>
      <w:r>
        <w:rPr>
          <w:rFonts w:hint="eastAsia" w:ascii="黑体" w:hAnsi="宋体" w:eastAsia="黑体" w:cs="黑体"/>
          <w:kern w:val="0"/>
          <w:sz w:val="32"/>
          <w:szCs w:val="32"/>
          <w:lang w:bidi="ar"/>
        </w:rPr>
        <w:t>四、组织保障</w:t>
      </w:r>
    </w:p>
    <w:p>
      <w:pPr>
        <w:keepNext w:val="0"/>
        <w:keepLines w:val="0"/>
        <w:pageBreakBefore w:val="0"/>
        <w:kinsoku/>
        <w:wordWrap/>
        <w:topLinePunct w:val="0"/>
        <w:bidi w:val="0"/>
        <w:spacing w:line="600" w:lineRule="exact"/>
        <w:ind w:firstLine="640" w:firstLineChars="200"/>
        <w:textAlignment w:val="auto"/>
        <w:rPr>
          <w:rFonts w:eastAsia="仿宋_GB2312"/>
          <w:kern w:val="0"/>
          <w:sz w:val="32"/>
          <w:szCs w:val="32"/>
        </w:rPr>
      </w:pPr>
      <w:r>
        <w:rPr>
          <w:rFonts w:hint="eastAsia" w:ascii="楷体_GB2312" w:eastAsia="楷体_GB2312" w:cs="楷体_GB2312"/>
          <w:kern w:val="0"/>
          <w:sz w:val="32"/>
          <w:szCs w:val="32"/>
          <w:lang w:bidi="ar"/>
        </w:rPr>
        <w:t>（一）加强组织领导。</w:t>
      </w:r>
      <w:r>
        <w:rPr>
          <w:rFonts w:hint="eastAsia" w:eastAsia="仿宋_GB2312"/>
          <w:kern w:val="0"/>
          <w:sz w:val="32"/>
          <w:szCs w:val="32"/>
        </w:rPr>
        <w:t>坚持粮食安全党政同责，落实粮食安全责任制，以超强力度、更强执行力抓好粮食生产。认真研究粮油生产保供措施，严格落实粮油生产各项扶持政策，统筹抓好生产、流通、储备、产销协作和节粮减损等各项工作。压实各级责任，逐级分解下达目标任务，确保任务指标到村、到户、到田。加强日常调度和监督检查，坚持一季一季、一茬一茬、一个区域一个区域抓好任务落实落地，确保年度生产保供任务顺利完成。各级农业农村、发展改革、科技、财政、自然资源、生态环境、交通运输、水利、商务、市场监管、金融、统计、调查队、供销、人行、银保监等部门要各司其职，密切配合，合力抓好粮油生产保供工作。</w:t>
      </w:r>
    </w:p>
    <w:p>
      <w:pPr>
        <w:keepNext w:val="0"/>
        <w:keepLines w:val="0"/>
        <w:pageBreakBefore w:val="0"/>
        <w:kinsoku/>
        <w:wordWrap/>
        <w:topLinePunct w:val="0"/>
        <w:bidi w:val="0"/>
        <w:spacing w:line="600" w:lineRule="exact"/>
        <w:ind w:firstLine="640" w:firstLineChars="200"/>
        <w:textAlignment w:val="auto"/>
        <w:rPr>
          <w:rFonts w:eastAsia="仿宋_GB2312"/>
          <w:kern w:val="0"/>
          <w:sz w:val="32"/>
          <w:szCs w:val="32"/>
        </w:rPr>
      </w:pPr>
      <w:r>
        <w:rPr>
          <w:rFonts w:hint="eastAsia" w:ascii="楷体_GB2312" w:eastAsia="楷体_GB2312" w:cs="楷体_GB2312"/>
          <w:kern w:val="0"/>
          <w:sz w:val="32"/>
          <w:szCs w:val="32"/>
          <w:lang w:bidi="ar"/>
        </w:rPr>
        <w:t>（二）加强服务指导。</w:t>
      </w:r>
      <w:r>
        <w:rPr>
          <w:rFonts w:hint="eastAsia" w:eastAsia="仿宋_GB2312"/>
          <w:kern w:val="0"/>
          <w:sz w:val="32"/>
          <w:szCs w:val="32"/>
        </w:rPr>
        <w:t>进一步落实农业农村部门负责人包片指导督促粮食生产工作制度，分区、分块指导粮食生产。进一步完善在线服务和专线服务机制，广泛组织种粮农民培训，组织农技专家与种粮大户结对挂钩，不断提高农民科技意识和种粮技能。加强先进适用技术推广，扎实开展各类示范区、示范方建设，有效发挥辐射带动作用。强化农业防灾减灾，压实防灾减灾责任，落实落细各项防灾减灾措施，实现早预警、早应对，着力保障粮食生产安全。</w:t>
      </w:r>
    </w:p>
    <w:p>
      <w:pPr>
        <w:keepNext w:val="0"/>
        <w:keepLines w:val="0"/>
        <w:pageBreakBefore w:val="0"/>
        <w:kinsoku/>
        <w:wordWrap/>
        <w:topLinePunct w:val="0"/>
        <w:bidi w:val="0"/>
        <w:spacing w:line="600" w:lineRule="exact"/>
        <w:ind w:firstLine="640" w:firstLineChars="200"/>
        <w:textAlignment w:val="auto"/>
        <w:rPr>
          <w:rFonts w:ascii="仿宋_GB2312" w:eastAsia="仿宋_GB2312" w:cs="仿宋_GB2312"/>
          <w:kern w:val="0"/>
          <w:sz w:val="32"/>
          <w:szCs w:val="32"/>
        </w:rPr>
      </w:pPr>
      <w:r>
        <w:rPr>
          <w:rFonts w:hint="eastAsia" w:ascii="楷体_GB2312" w:eastAsia="楷体_GB2312" w:cs="楷体_GB2312"/>
          <w:kern w:val="0"/>
          <w:sz w:val="32"/>
          <w:szCs w:val="32"/>
          <w:lang w:bidi="ar"/>
        </w:rPr>
        <w:t>（三）加强考核评价。</w:t>
      </w:r>
      <w:r>
        <w:rPr>
          <w:rFonts w:hint="eastAsia" w:eastAsia="仿宋_GB2312"/>
          <w:kern w:val="0"/>
          <w:sz w:val="32"/>
          <w:szCs w:val="32"/>
        </w:rPr>
        <w:t>粮油生产保供工作纳入粮食安全责任制、乡村振兴战略实绩考核，积极争取纳入各级政府督查激励事项。强化粮油生产保供监测评价，适时通报工作进展情况。严格工作考核，强化考核结果运用，对未完成年度生产任务的取消评优资格，形成争先创优的良好氛围。</w:t>
      </w:r>
    </w:p>
    <w:p>
      <w:pPr>
        <w:keepNext w:val="0"/>
        <w:keepLines w:val="0"/>
        <w:pageBreakBefore w:val="0"/>
        <w:kinsoku/>
        <w:wordWrap/>
        <w:topLinePunct w:val="0"/>
        <w:bidi w:val="0"/>
        <w:spacing w:line="600" w:lineRule="exact"/>
        <w:ind w:firstLine="640" w:firstLineChars="200"/>
        <w:textAlignment w:val="auto"/>
        <w:rPr>
          <w:rFonts w:ascii="仿宋_GB2312" w:eastAsia="仿宋_GB2312" w:cs="仿宋_GB2312"/>
          <w:kern w:val="0"/>
          <w:sz w:val="32"/>
          <w:szCs w:val="32"/>
          <w:lang w:bidi="ar"/>
        </w:rPr>
      </w:pPr>
    </w:p>
    <w:p>
      <w:pPr>
        <w:keepNext w:val="0"/>
        <w:keepLines w:val="0"/>
        <w:pageBreakBefore w:val="0"/>
        <w:kinsoku/>
        <w:wordWrap/>
        <w:topLinePunct w:val="0"/>
        <w:bidi w:val="0"/>
        <w:spacing w:line="600" w:lineRule="exact"/>
        <w:ind w:firstLine="640" w:firstLineChars="200"/>
        <w:textAlignment w:val="auto"/>
        <w:rPr>
          <w:rFonts w:ascii="仿宋_GB2312" w:eastAsia="仿宋_GB2312" w:cs="仿宋_GB2312"/>
          <w:kern w:val="0"/>
          <w:sz w:val="32"/>
          <w:szCs w:val="32"/>
          <w:lang w:bidi="ar"/>
        </w:rPr>
      </w:pPr>
      <w:r>
        <w:rPr>
          <w:rFonts w:hint="eastAsia" w:ascii="仿宋_GB2312" w:eastAsia="仿宋_GB2312" w:cs="仿宋_GB2312"/>
          <w:kern w:val="0"/>
          <w:sz w:val="32"/>
          <w:szCs w:val="32"/>
          <w:lang w:bidi="ar"/>
        </w:rPr>
        <w:t>附表：1.2022年粮食播种面积和产量任务</w:t>
      </w:r>
    </w:p>
    <w:p>
      <w:pPr>
        <w:keepNext w:val="0"/>
        <w:keepLines w:val="0"/>
        <w:pageBreakBefore w:val="0"/>
        <w:kinsoku/>
        <w:wordWrap/>
        <w:topLinePunct w:val="0"/>
        <w:bidi w:val="0"/>
        <w:spacing w:line="600" w:lineRule="exact"/>
        <w:ind w:firstLine="1600" w:firstLineChars="500"/>
        <w:textAlignment w:val="auto"/>
        <w:rPr>
          <w:rFonts w:ascii="仿宋_GB2312" w:eastAsia="仿宋_GB2312" w:cs="仿宋_GB2312"/>
          <w:kern w:val="0"/>
          <w:sz w:val="32"/>
          <w:szCs w:val="32"/>
          <w:lang w:bidi="ar"/>
        </w:rPr>
      </w:pPr>
      <w:r>
        <w:rPr>
          <w:rFonts w:ascii="仿宋_GB2312" w:eastAsia="仿宋_GB2312" w:cs="仿宋_GB2312"/>
          <w:kern w:val="0"/>
          <w:sz w:val="32"/>
          <w:szCs w:val="32"/>
          <w:lang w:bidi="ar"/>
        </w:rPr>
        <w:t>2.202</w:t>
      </w:r>
      <w:r>
        <w:rPr>
          <w:rFonts w:hint="eastAsia" w:ascii="仿宋_GB2312" w:eastAsia="仿宋_GB2312" w:cs="仿宋_GB2312"/>
          <w:kern w:val="0"/>
          <w:sz w:val="32"/>
          <w:szCs w:val="32"/>
          <w:lang w:bidi="ar"/>
        </w:rPr>
        <w:t>2</w:t>
      </w:r>
      <w:r>
        <w:rPr>
          <w:rFonts w:ascii="仿宋_GB2312" w:eastAsia="仿宋_GB2312" w:cs="仿宋_GB2312"/>
          <w:kern w:val="0"/>
          <w:sz w:val="32"/>
          <w:szCs w:val="32"/>
          <w:lang w:bidi="ar"/>
        </w:rPr>
        <w:t>年</w:t>
      </w:r>
      <w:r>
        <w:rPr>
          <w:rFonts w:hint="eastAsia" w:ascii="仿宋_GB2312" w:eastAsia="仿宋_GB2312" w:cs="仿宋_GB2312"/>
          <w:kern w:val="0"/>
          <w:sz w:val="32"/>
          <w:szCs w:val="32"/>
          <w:lang w:bidi="ar"/>
        </w:rPr>
        <w:t>大豆</w:t>
      </w:r>
      <w:r>
        <w:rPr>
          <w:rFonts w:ascii="仿宋_GB2312" w:eastAsia="仿宋_GB2312" w:cs="仿宋_GB2312"/>
          <w:kern w:val="0"/>
          <w:sz w:val="32"/>
          <w:szCs w:val="32"/>
          <w:lang w:bidi="ar"/>
        </w:rPr>
        <w:t>面积和产量</w:t>
      </w:r>
      <w:r>
        <w:rPr>
          <w:rFonts w:hint="eastAsia" w:ascii="仿宋_GB2312" w:eastAsia="仿宋_GB2312" w:cs="仿宋_GB2312"/>
          <w:kern w:val="0"/>
          <w:sz w:val="32"/>
          <w:szCs w:val="32"/>
          <w:lang w:bidi="ar"/>
        </w:rPr>
        <w:t>任务</w:t>
      </w:r>
    </w:p>
    <w:p>
      <w:pPr>
        <w:keepNext w:val="0"/>
        <w:keepLines w:val="0"/>
        <w:pageBreakBefore w:val="0"/>
        <w:kinsoku/>
        <w:wordWrap/>
        <w:topLinePunct w:val="0"/>
        <w:bidi w:val="0"/>
        <w:spacing w:line="600" w:lineRule="exact"/>
        <w:ind w:firstLine="1600" w:firstLineChars="500"/>
        <w:textAlignment w:val="auto"/>
        <w:rPr>
          <w:rFonts w:ascii="仿宋_GB2312" w:eastAsia="仿宋_GB2312" w:cs="仿宋_GB2312"/>
          <w:kern w:val="0"/>
          <w:sz w:val="32"/>
          <w:szCs w:val="32"/>
          <w:lang w:bidi="ar"/>
        </w:rPr>
      </w:pPr>
      <w:r>
        <w:rPr>
          <w:rFonts w:ascii="仿宋_GB2312" w:eastAsia="仿宋_GB2312" w:cs="仿宋_GB2312"/>
          <w:kern w:val="0"/>
          <w:sz w:val="32"/>
          <w:szCs w:val="32"/>
          <w:lang w:bidi="ar"/>
        </w:rPr>
        <w:t>3</w:t>
      </w:r>
      <w:r>
        <w:rPr>
          <w:rFonts w:hint="eastAsia" w:ascii="仿宋_GB2312" w:eastAsia="仿宋_GB2312" w:cs="仿宋_GB2312"/>
          <w:kern w:val="0"/>
          <w:sz w:val="32"/>
          <w:szCs w:val="32"/>
          <w:lang w:bidi="ar"/>
        </w:rPr>
        <w:t>.2022年油菜面积和产量任务</w:t>
      </w:r>
    </w:p>
    <w:p>
      <w:pPr>
        <w:keepNext w:val="0"/>
        <w:keepLines w:val="0"/>
        <w:pageBreakBefore w:val="0"/>
        <w:widowControl/>
        <w:kinsoku/>
        <w:wordWrap/>
        <w:topLinePunct w:val="0"/>
        <w:bidi w:val="0"/>
        <w:spacing w:line="600" w:lineRule="exact"/>
        <w:ind w:left="1916" w:leftChars="760" w:hanging="320" w:hangingChars="100"/>
        <w:textAlignment w:val="auto"/>
        <w:rPr>
          <w:rFonts w:ascii="仿宋_GB2312" w:eastAsia="仿宋_GB2312" w:cs="仿宋_GB2312"/>
          <w:spacing w:val="-12"/>
          <w:kern w:val="0"/>
          <w:sz w:val="32"/>
          <w:szCs w:val="32"/>
          <w:lang w:bidi="ar"/>
        </w:rPr>
      </w:pPr>
      <w:r>
        <w:rPr>
          <w:rFonts w:ascii="仿宋_GB2312" w:eastAsia="仿宋_GB2312" w:cs="仿宋_GB2312"/>
          <w:kern w:val="0"/>
          <w:sz w:val="32"/>
          <w:szCs w:val="32"/>
          <w:lang w:bidi="ar"/>
        </w:rPr>
        <w:t>4</w:t>
      </w:r>
      <w:r>
        <w:rPr>
          <w:rFonts w:hint="eastAsia" w:ascii="仿宋_GB2312" w:eastAsia="仿宋_GB2312" w:cs="仿宋_GB2312"/>
          <w:spacing w:val="-12"/>
          <w:kern w:val="0"/>
          <w:sz w:val="32"/>
          <w:szCs w:val="32"/>
          <w:lang w:bidi="ar"/>
        </w:rPr>
        <w:t>.2022年全市粮油储备和粮食保供稳价骨干企业指标分解</w:t>
      </w:r>
    </w:p>
    <w:p>
      <w:pPr>
        <w:keepNext w:val="0"/>
        <w:keepLines w:val="0"/>
        <w:pageBreakBefore w:val="0"/>
        <w:kinsoku/>
        <w:wordWrap/>
        <w:topLinePunct w:val="0"/>
        <w:bidi w:val="0"/>
        <w:spacing w:line="600" w:lineRule="exact"/>
        <w:ind w:firstLine="1600" w:firstLineChars="500"/>
        <w:textAlignment w:val="auto"/>
        <w:rPr>
          <w:rFonts w:ascii="仿宋_GB2312" w:eastAsia="仿宋_GB2312" w:cs="仿宋_GB2312"/>
          <w:kern w:val="0"/>
          <w:sz w:val="32"/>
          <w:szCs w:val="32"/>
          <w:lang w:bidi="ar"/>
        </w:rPr>
      </w:pPr>
      <w:r>
        <w:rPr>
          <w:rFonts w:ascii="仿宋_GB2312" w:eastAsia="仿宋_GB2312" w:cs="仿宋_GB2312"/>
          <w:kern w:val="0"/>
          <w:sz w:val="32"/>
          <w:szCs w:val="32"/>
          <w:lang w:bidi="ar"/>
        </w:rPr>
        <w:t>5</w:t>
      </w:r>
      <w:r>
        <w:rPr>
          <w:rFonts w:hint="eastAsia" w:ascii="仿宋_GB2312" w:eastAsia="仿宋_GB2312" w:cs="仿宋_GB2312"/>
          <w:kern w:val="0"/>
          <w:sz w:val="32"/>
          <w:szCs w:val="32"/>
          <w:lang w:bidi="ar"/>
        </w:rPr>
        <w:t>.2022年农资应急储备指标分解</w:t>
      </w:r>
    </w:p>
    <w:p>
      <w:pPr>
        <w:keepNext w:val="0"/>
        <w:keepLines w:val="0"/>
        <w:pageBreakBefore w:val="0"/>
        <w:kinsoku/>
        <w:wordWrap/>
        <w:topLinePunct w:val="0"/>
        <w:bidi w:val="0"/>
        <w:spacing w:line="600" w:lineRule="exact"/>
        <w:ind w:firstLine="1600" w:firstLineChars="500"/>
        <w:textAlignment w:val="auto"/>
        <w:rPr>
          <w:rFonts w:ascii="仿宋_GB2312" w:eastAsia="仿宋_GB2312" w:cs="仿宋_GB2312"/>
          <w:kern w:val="0"/>
          <w:sz w:val="32"/>
          <w:szCs w:val="32"/>
          <w:lang w:bidi="ar"/>
        </w:rPr>
      </w:pPr>
      <w:r>
        <w:rPr>
          <w:rFonts w:ascii="仿宋_GB2312" w:eastAsia="仿宋_GB2312" w:cs="仿宋_GB2312"/>
          <w:kern w:val="0"/>
          <w:sz w:val="32"/>
          <w:szCs w:val="32"/>
          <w:lang w:bidi="ar"/>
        </w:rPr>
        <w:t>6.</w:t>
      </w:r>
      <w:r>
        <w:rPr>
          <w:rFonts w:hint="eastAsia" w:ascii="仿宋_GB2312" w:eastAsia="仿宋_GB2312" w:cs="仿宋_GB2312"/>
          <w:kern w:val="0"/>
          <w:sz w:val="32"/>
          <w:szCs w:val="32"/>
          <w:lang w:bidi="ar"/>
        </w:rPr>
        <w:t>2022年全市主粮作物政策性保险参保目标</w:t>
      </w:r>
    </w:p>
    <w:p>
      <w:pPr>
        <w:keepNext w:val="0"/>
        <w:keepLines w:val="0"/>
        <w:pageBreakBefore w:val="0"/>
        <w:kinsoku/>
        <w:wordWrap/>
        <w:topLinePunct w:val="0"/>
        <w:bidi w:val="0"/>
        <w:spacing w:line="600" w:lineRule="exact"/>
        <w:ind w:firstLine="1540" w:firstLineChars="500"/>
        <w:textAlignment w:val="auto"/>
        <w:rPr>
          <w:rFonts w:ascii="仿宋_GB2312" w:eastAsia="仿宋_GB2312" w:cs="仿宋_GB2312"/>
          <w:spacing w:val="-6"/>
          <w:kern w:val="0"/>
          <w:sz w:val="32"/>
          <w:szCs w:val="32"/>
          <w:lang w:bidi="ar"/>
        </w:rPr>
      </w:pPr>
    </w:p>
    <w:p>
      <w:pPr>
        <w:keepNext w:val="0"/>
        <w:keepLines w:val="0"/>
        <w:pageBreakBefore w:val="0"/>
        <w:kinsoku/>
        <w:wordWrap/>
        <w:topLinePunct w:val="0"/>
        <w:bidi w:val="0"/>
        <w:spacing w:line="600" w:lineRule="exact"/>
        <w:ind w:firstLine="640" w:firstLineChars="200"/>
        <w:textAlignment w:val="auto"/>
        <w:rPr>
          <w:rFonts w:ascii="仿宋_GB2312" w:eastAsia="仿宋_GB2312" w:cs="仿宋_GB2312"/>
          <w:kern w:val="0"/>
          <w:sz w:val="32"/>
          <w:szCs w:val="32"/>
        </w:rPr>
      </w:pPr>
    </w:p>
    <w:p>
      <w:pPr>
        <w:keepNext w:val="0"/>
        <w:keepLines w:val="0"/>
        <w:pageBreakBefore w:val="0"/>
        <w:kinsoku/>
        <w:wordWrap/>
        <w:topLinePunct w:val="0"/>
        <w:bidi w:val="0"/>
        <w:spacing w:line="600" w:lineRule="exact"/>
        <w:textAlignment w:val="auto"/>
        <w:rPr>
          <w:rFonts w:ascii="仿宋_GB2312" w:eastAsia="仿宋_GB2312" w:cs="仿宋_GB2312"/>
          <w:sz w:val="32"/>
          <w:szCs w:val="32"/>
        </w:rPr>
      </w:pPr>
    </w:p>
    <w:p>
      <w:pPr>
        <w:keepNext w:val="0"/>
        <w:keepLines w:val="0"/>
        <w:pageBreakBefore w:val="0"/>
        <w:kinsoku/>
        <w:wordWrap/>
        <w:topLinePunct w:val="0"/>
        <w:bidi w:val="0"/>
        <w:spacing w:line="600" w:lineRule="exact"/>
        <w:ind w:firstLine="960" w:firstLineChars="300"/>
        <w:textAlignment w:val="auto"/>
        <w:rPr>
          <w:rFonts w:ascii="仿宋_GB2312" w:eastAsia="仿宋_GB2312" w:cs="仿宋_GB2312"/>
          <w:sz w:val="32"/>
          <w:szCs w:val="32"/>
          <w:lang w:bidi="ar"/>
        </w:rPr>
      </w:pPr>
      <w:r>
        <w:rPr>
          <w:rFonts w:hint="eastAsia" w:ascii="仿宋_GB2312" w:eastAsia="仿宋_GB2312" w:cs="仿宋_GB2312"/>
          <w:sz w:val="32"/>
          <w:szCs w:val="32"/>
          <w:lang w:bidi="ar"/>
        </w:rPr>
        <w:t xml:space="preserve">绍兴市农业农村局       绍兴市发展和改革委员会 </w:t>
      </w:r>
    </w:p>
    <w:p>
      <w:pPr>
        <w:keepNext w:val="0"/>
        <w:keepLines w:val="0"/>
        <w:pageBreakBefore w:val="0"/>
        <w:kinsoku/>
        <w:wordWrap/>
        <w:topLinePunct w:val="0"/>
        <w:bidi w:val="0"/>
        <w:spacing w:line="600" w:lineRule="exact"/>
        <w:textAlignment w:val="auto"/>
        <w:rPr>
          <w:rFonts w:ascii="仿宋_GB2312" w:eastAsia="仿宋_GB2312" w:cs="仿宋_GB2312"/>
          <w:sz w:val="32"/>
          <w:szCs w:val="32"/>
          <w:lang w:bidi="ar"/>
        </w:rPr>
      </w:pPr>
    </w:p>
    <w:p>
      <w:pPr>
        <w:keepNext w:val="0"/>
        <w:keepLines w:val="0"/>
        <w:pageBreakBefore w:val="0"/>
        <w:kinsoku/>
        <w:wordWrap/>
        <w:topLinePunct w:val="0"/>
        <w:bidi w:val="0"/>
        <w:spacing w:line="600" w:lineRule="exact"/>
        <w:textAlignment w:val="auto"/>
        <w:rPr>
          <w:rFonts w:ascii="仿宋_GB2312" w:eastAsia="仿宋_GB2312" w:cs="仿宋_GB2312"/>
          <w:sz w:val="32"/>
          <w:szCs w:val="32"/>
          <w:lang w:bidi="ar"/>
        </w:rPr>
      </w:pPr>
    </w:p>
    <w:p>
      <w:pPr>
        <w:keepNext w:val="0"/>
        <w:keepLines w:val="0"/>
        <w:pageBreakBefore w:val="0"/>
        <w:kinsoku/>
        <w:wordWrap/>
        <w:topLinePunct w:val="0"/>
        <w:bidi w:val="0"/>
        <w:spacing w:line="600" w:lineRule="exact"/>
        <w:ind w:firstLine="1280" w:firstLineChars="400"/>
        <w:textAlignment w:val="auto"/>
        <w:rPr>
          <w:rFonts w:ascii="仿宋_GB2312" w:eastAsia="仿宋_GB2312" w:cs="仿宋_GB2312"/>
          <w:sz w:val="32"/>
          <w:szCs w:val="32"/>
          <w:lang w:bidi="ar"/>
        </w:rPr>
      </w:pPr>
      <w:r>
        <w:rPr>
          <w:rFonts w:hint="eastAsia" w:ascii="仿宋_GB2312" w:eastAsia="仿宋_GB2312" w:cs="仿宋_GB2312"/>
          <w:sz w:val="32"/>
          <w:szCs w:val="32"/>
          <w:lang w:bidi="ar"/>
        </w:rPr>
        <w:t xml:space="preserve">绍兴市财政局     </w:t>
      </w:r>
      <w:r>
        <w:rPr>
          <w:rFonts w:ascii="仿宋_GB2312" w:eastAsia="仿宋_GB2312" w:cs="仿宋_GB2312"/>
          <w:sz w:val="32"/>
          <w:szCs w:val="32"/>
          <w:lang w:bidi="ar"/>
        </w:rPr>
        <w:t xml:space="preserve"> </w:t>
      </w:r>
      <w:r>
        <w:rPr>
          <w:rFonts w:hint="eastAsia" w:ascii="仿宋_GB2312" w:eastAsia="仿宋_GB2312" w:cs="仿宋_GB2312"/>
          <w:sz w:val="32"/>
          <w:szCs w:val="32"/>
          <w:lang w:bidi="ar"/>
        </w:rPr>
        <w:t xml:space="preserve">   绍兴市自然资源和规划局       </w:t>
      </w:r>
    </w:p>
    <w:p>
      <w:pPr>
        <w:keepNext w:val="0"/>
        <w:keepLines w:val="0"/>
        <w:pageBreakBefore w:val="0"/>
        <w:kinsoku/>
        <w:wordWrap/>
        <w:topLinePunct w:val="0"/>
        <w:bidi w:val="0"/>
        <w:spacing w:line="600" w:lineRule="exact"/>
        <w:ind w:firstLine="1280" w:firstLineChars="400"/>
        <w:textAlignment w:val="auto"/>
        <w:rPr>
          <w:rFonts w:ascii="仿宋_GB2312" w:eastAsia="仿宋_GB2312" w:cs="仿宋_GB2312"/>
          <w:sz w:val="32"/>
          <w:szCs w:val="32"/>
          <w:lang w:bidi="ar"/>
        </w:rPr>
      </w:pPr>
    </w:p>
    <w:p>
      <w:pPr>
        <w:keepNext w:val="0"/>
        <w:keepLines w:val="0"/>
        <w:pageBreakBefore w:val="0"/>
        <w:kinsoku/>
        <w:wordWrap/>
        <w:topLinePunct w:val="0"/>
        <w:bidi w:val="0"/>
        <w:spacing w:line="600" w:lineRule="exact"/>
        <w:ind w:firstLine="960" w:firstLineChars="300"/>
        <w:textAlignment w:val="auto"/>
        <w:rPr>
          <w:rFonts w:ascii="仿宋_GB2312" w:eastAsia="仿宋_GB2312" w:cs="仿宋_GB2312"/>
          <w:sz w:val="32"/>
          <w:szCs w:val="32"/>
        </w:rPr>
      </w:pPr>
    </w:p>
    <w:p>
      <w:pPr>
        <w:keepNext w:val="0"/>
        <w:keepLines w:val="0"/>
        <w:pageBreakBefore w:val="0"/>
        <w:kinsoku/>
        <w:wordWrap/>
        <w:topLinePunct w:val="0"/>
        <w:bidi w:val="0"/>
        <w:spacing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绍兴市供销合作总社</w:t>
      </w:r>
    </w:p>
    <w:p>
      <w:pPr>
        <w:keepNext w:val="0"/>
        <w:keepLines w:val="0"/>
        <w:pageBreakBefore w:val="0"/>
        <w:kinsoku/>
        <w:wordWrap/>
        <w:topLinePunct w:val="0"/>
        <w:bidi w:val="0"/>
        <w:spacing w:line="600" w:lineRule="exact"/>
        <w:textAlignment w:val="auto"/>
        <w:rPr>
          <w:rFonts w:ascii="仿宋_GB2312" w:eastAsia="仿宋_GB2312" w:cs="仿宋_GB2312"/>
          <w:sz w:val="32"/>
          <w:szCs w:val="32"/>
          <w:lang w:bidi="ar"/>
        </w:rPr>
        <w:sectPr>
          <w:headerReference r:id="rId3" w:type="default"/>
          <w:footerReference r:id="rId5" w:type="default"/>
          <w:headerReference r:id="rId4" w:type="even"/>
          <w:footerReference r:id="rId6" w:type="even"/>
          <w:pgSz w:w="11906" w:h="16838"/>
          <w:pgMar w:top="1928" w:right="1474" w:bottom="1474" w:left="1587" w:header="850" w:footer="850" w:gutter="0"/>
          <w:pgNumType w:fmt="decimal"/>
          <w:cols w:space="720" w:num="1"/>
          <w:docGrid w:type="lines" w:linePitch="317" w:charSpace="0"/>
        </w:sectPr>
      </w:pPr>
      <w:r>
        <w:rPr>
          <w:rFonts w:hint="eastAsia" w:ascii="仿宋_GB2312" w:eastAsia="仿宋_GB2312" w:cs="仿宋_GB2312"/>
          <w:sz w:val="32"/>
          <w:szCs w:val="32"/>
          <w:lang w:bidi="ar"/>
        </w:rPr>
        <w:t xml:space="preserve">                 </w:t>
      </w:r>
      <w:r>
        <w:rPr>
          <w:rFonts w:hint="eastAsia" w:ascii="仿宋_GB2312" w:eastAsia="仿宋_GB2312" w:cs="仿宋_GB2312"/>
          <w:sz w:val="32"/>
          <w:szCs w:val="32"/>
          <w:lang w:val="en-US" w:eastAsia="zh-CN" w:bidi="ar"/>
        </w:rPr>
        <w:t xml:space="preserve">  </w:t>
      </w:r>
      <w:r>
        <w:rPr>
          <w:rFonts w:hint="eastAsia" w:ascii="仿宋_GB2312" w:eastAsia="仿宋_GB2312" w:cs="仿宋_GB2312"/>
          <w:sz w:val="32"/>
          <w:szCs w:val="32"/>
          <w:lang w:bidi="ar"/>
        </w:rPr>
        <w:t>2022年</w:t>
      </w:r>
      <w:r>
        <w:rPr>
          <w:rFonts w:hint="eastAsia" w:ascii="仿宋_GB2312" w:eastAsia="仿宋_GB2312" w:cs="仿宋_GB2312"/>
          <w:sz w:val="32"/>
          <w:szCs w:val="32"/>
          <w:lang w:val="en-US" w:eastAsia="zh-CN" w:bidi="ar"/>
        </w:rPr>
        <w:t>3</w:t>
      </w:r>
      <w:r>
        <w:rPr>
          <w:rFonts w:hint="eastAsia" w:ascii="仿宋_GB2312" w:eastAsia="仿宋_GB2312" w:cs="仿宋_GB2312"/>
          <w:sz w:val="32"/>
          <w:szCs w:val="32"/>
          <w:lang w:bidi="ar"/>
        </w:rPr>
        <w:t>月</w:t>
      </w:r>
      <w:r>
        <w:rPr>
          <w:rFonts w:hint="eastAsia" w:ascii="仿宋_GB2312" w:eastAsia="仿宋_GB2312" w:cs="仿宋_GB2312"/>
          <w:sz w:val="32"/>
          <w:szCs w:val="32"/>
          <w:lang w:val="en-US" w:eastAsia="zh-CN" w:bidi="ar"/>
        </w:rPr>
        <w:t>15</w:t>
      </w:r>
      <w:r>
        <w:rPr>
          <w:rFonts w:hint="eastAsia" w:ascii="仿宋_GB2312" w:eastAsia="仿宋_GB2312" w:cs="仿宋_GB2312"/>
          <w:sz w:val="32"/>
          <w:szCs w:val="32"/>
          <w:lang w:bidi="ar"/>
        </w:rPr>
        <w:t>日</w:t>
      </w:r>
    </w:p>
    <w:p>
      <w:pPr>
        <w:rPr>
          <w:rFonts w:eastAsia="黑体"/>
          <w:sz w:val="32"/>
          <w:szCs w:val="32"/>
        </w:rPr>
      </w:pPr>
      <w:r>
        <w:rPr>
          <w:rFonts w:eastAsia="黑体"/>
          <w:sz w:val="32"/>
          <w:szCs w:val="32"/>
        </w:rPr>
        <w:t>附</w:t>
      </w:r>
      <w:r>
        <w:rPr>
          <w:rFonts w:hint="eastAsia" w:eastAsia="黑体"/>
          <w:sz w:val="32"/>
          <w:szCs w:val="32"/>
        </w:rPr>
        <w:t>表1</w:t>
      </w:r>
    </w:p>
    <w:p>
      <w:pPr>
        <w:spacing w:line="600" w:lineRule="exact"/>
        <w:rPr>
          <w:rFonts w:eastAsia="黑体"/>
          <w:sz w:val="32"/>
          <w:szCs w:val="32"/>
        </w:rPr>
      </w:pPr>
    </w:p>
    <w:p>
      <w:pPr>
        <w:widowControl/>
        <w:spacing w:line="64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rPr>
        <w:t>2</w:t>
      </w:r>
      <w:r>
        <w:rPr>
          <w:rFonts w:eastAsia="方正小标宋简体"/>
          <w:sz w:val="44"/>
          <w:szCs w:val="44"/>
        </w:rPr>
        <w:t>年粮食播种面积</w:t>
      </w:r>
      <w:r>
        <w:rPr>
          <w:rFonts w:hint="eastAsia" w:eastAsia="方正小标宋简体"/>
          <w:sz w:val="44"/>
          <w:szCs w:val="44"/>
        </w:rPr>
        <w:t>和产量任务</w:t>
      </w:r>
    </w:p>
    <w:p>
      <w:pPr>
        <w:spacing w:line="640" w:lineRule="exact"/>
        <w:jc w:val="center"/>
        <w:rPr>
          <w:rFonts w:eastAsia="仿宋_GB2312"/>
          <w:sz w:val="32"/>
          <w:szCs w:val="32"/>
        </w:rPr>
      </w:pPr>
      <w:r>
        <w:rPr>
          <w:rFonts w:eastAsia="仿宋_GB2312"/>
          <w:sz w:val="32"/>
          <w:szCs w:val="32"/>
        </w:rPr>
        <w:t xml:space="preserve">                                       单位：万亩</w:t>
      </w:r>
      <w:r>
        <w:rPr>
          <w:rFonts w:hint="eastAsia" w:eastAsia="仿宋_GB2312"/>
          <w:sz w:val="32"/>
          <w:szCs w:val="32"/>
        </w:rPr>
        <w:t>、万吨</w:t>
      </w:r>
    </w:p>
    <w:tbl>
      <w:tblPr>
        <w:tblStyle w:val="8"/>
        <w:tblW w:w="5000" w:type="pct"/>
        <w:tblInd w:w="0" w:type="dxa"/>
        <w:tblLayout w:type="autofit"/>
        <w:tblCellMar>
          <w:top w:w="15" w:type="dxa"/>
          <w:left w:w="15" w:type="dxa"/>
          <w:bottom w:w="15" w:type="dxa"/>
          <w:right w:w="15" w:type="dxa"/>
        </w:tblCellMar>
      </w:tblPr>
      <w:tblGrid>
        <w:gridCol w:w="1292"/>
        <w:gridCol w:w="1155"/>
        <w:gridCol w:w="1155"/>
        <w:gridCol w:w="1155"/>
        <w:gridCol w:w="1155"/>
        <w:gridCol w:w="1155"/>
        <w:gridCol w:w="1155"/>
        <w:gridCol w:w="1156"/>
        <w:gridCol w:w="1156"/>
        <w:gridCol w:w="1587"/>
        <w:gridCol w:w="1867"/>
      </w:tblGrid>
      <w:tr>
        <w:tblPrEx>
          <w:tblCellMar>
            <w:top w:w="15" w:type="dxa"/>
            <w:left w:w="15" w:type="dxa"/>
            <w:bottom w:w="15" w:type="dxa"/>
            <w:right w:w="15" w:type="dxa"/>
          </w:tblCellMar>
        </w:tblPrEx>
        <w:trPr>
          <w:trHeight w:val="413" w:hRule="atLeast"/>
        </w:trPr>
        <w:tc>
          <w:tcPr>
            <w:tcW w:w="462" w:type="pct"/>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宋体" w:eastAsia="仿宋_GB2312" w:cs="仿宋_GB2312"/>
                <w:sz w:val="30"/>
                <w:szCs w:val="30"/>
              </w:rPr>
            </w:pPr>
          </w:p>
        </w:tc>
        <w:tc>
          <w:tcPr>
            <w:tcW w:w="82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粮食</w:t>
            </w:r>
          </w:p>
        </w:tc>
        <w:tc>
          <w:tcPr>
            <w:tcW w:w="82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其中：早稻</w:t>
            </w:r>
          </w:p>
        </w:tc>
        <w:tc>
          <w:tcPr>
            <w:tcW w:w="82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晚稻</w:t>
            </w:r>
          </w:p>
        </w:tc>
        <w:tc>
          <w:tcPr>
            <w:tcW w:w="82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小麦</w:t>
            </w:r>
          </w:p>
        </w:tc>
        <w:tc>
          <w:tcPr>
            <w:tcW w:w="123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旱杂粮</w:t>
            </w:r>
          </w:p>
        </w:tc>
      </w:tr>
      <w:tr>
        <w:tblPrEx>
          <w:tblCellMar>
            <w:top w:w="15" w:type="dxa"/>
            <w:left w:w="15" w:type="dxa"/>
            <w:bottom w:w="15" w:type="dxa"/>
            <w:right w:w="15" w:type="dxa"/>
          </w:tblCellMar>
        </w:tblPrEx>
        <w:trPr>
          <w:trHeight w:val="413" w:hRule="atLeast"/>
        </w:trPr>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宋体" w:eastAsia="仿宋_GB2312" w:cs="仿宋_GB2312"/>
                <w:sz w:val="30"/>
                <w:szCs w:val="30"/>
              </w:rPr>
            </w:pP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面积</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产量</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面积</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产量</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面积</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产量</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面积</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产量</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面积</w:t>
            </w:r>
          </w:p>
        </w:tc>
        <w:tc>
          <w:tcPr>
            <w:tcW w:w="6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sz w:val="30"/>
                <w:szCs w:val="30"/>
              </w:rPr>
            </w:pPr>
            <w:r>
              <w:rPr>
                <w:rFonts w:ascii="仿宋_GB2312" w:hAnsi="宋体" w:eastAsia="仿宋_GB2312" w:cs="仿宋_GB2312"/>
                <w:kern w:val="0"/>
                <w:sz w:val="30"/>
                <w:szCs w:val="30"/>
                <w:lang w:bidi="ar"/>
              </w:rPr>
              <w:t>产量</w:t>
            </w:r>
          </w:p>
        </w:tc>
      </w:tr>
      <w:tr>
        <w:tblPrEx>
          <w:tblCellMar>
            <w:top w:w="15" w:type="dxa"/>
            <w:left w:w="15" w:type="dxa"/>
            <w:bottom w:w="15" w:type="dxa"/>
            <w:right w:w="15" w:type="dxa"/>
          </w:tblCellMar>
        </w:tblPrEx>
        <w:trPr>
          <w:trHeight w:val="404" w:hRule="atLeast"/>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hAnsi="宋体" w:eastAsia="仿宋_GB2312" w:cs="仿宋_GB2312"/>
                <w:b/>
                <w:bCs/>
                <w:kern w:val="0"/>
                <w:sz w:val="28"/>
                <w:szCs w:val="28"/>
                <w:lang w:bidi="ar"/>
              </w:rPr>
              <w:t>全市</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hAnsi="宋体" w:eastAsia="仿宋_GB2312" w:cs="仿宋_GB2312"/>
                <w:b/>
                <w:bCs/>
                <w:kern w:val="0"/>
                <w:sz w:val="28"/>
                <w:szCs w:val="28"/>
                <w:lang w:bidi="ar"/>
              </w:rPr>
              <w:t>184.4</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eastAsia="仿宋_GB2312"/>
                <w:b/>
                <w:bCs/>
                <w:sz w:val="28"/>
                <w:szCs w:val="28"/>
              </w:rPr>
              <w:t xml:space="preserve">80.05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hAnsi="宋体" w:eastAsia="仿宋_GB2312" w:cs="仿宋_GB2312"/>
                <w:b/>
                <w:bCs/>
                <w:kern w:val="0"/>
                <w:sz w:val="28"/>
                <w:szCs w:val="28"/>
                <w:lang w:bidi="ar"/>
              </w:rPr>
              <w:t>25</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eastAsia="仿宋_GB2312"/>
                <w:b/>
                <w:bCs/>
                <w:sz w:val="28"/>
                <w:szCs w:val="28"/>
              </w:rPr>
              <w:t xml:space="preserve">11.20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hAnsi="宋体" w:eastAsia="仿宋_GB2312" w:cs="仿宋_GB2312"/>
                <w:b/>
                <w:bCs/>
                <w:kern w:val="0"/>
                <w:sz w:val="28"/>
                <w:szCs w:val="28"/>
                <w:lang w:bidi="ar"/>
              </w:rPr>
              <w:t>105.6</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eastAsia="仿宋_GB2312"/>
                <w:b/>
                <w:bCs/>
                <w:sz w:val="28"/>
                <w:szCs w:val="28"/>
              </w:rPr>
              <w:t xml:space="preserve">53.70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hAnsi="宋体" w:eastAsia="仿宋_GB2312" w:cs="仿宋_GB2312"/>
                <w:b/>
                <w:bCs/>
                <w:kern w:val="0"/>
                <w:sz w:val="28"/>
                <w:szCs w:val="28"/>
                <w:lang w:bidi="ar"/>
              </w:rPr>
              <w:t>12.2</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eastAsia="仿宋_GB2312"/>
                <w:b/>
                <w:bCs/>
                <w:sz w:val="28"/>
                <w:szCs w:val="28"/>
              </w:rPr>
              <w:t xml:space="preserve">3.40 </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hAnsi="宋体" w:eastAsia="仿宋_GB2312" w:cs="仿宋_GB2312"/>
                <w:b/>
                <w:bCs/>
                <w:kern w:val="0"/>
                <w:sz w:val="28"/>
                <w:szCs w:val="28"/>
                <w:lang w:bidi="ar"/>
              </w:rPr>
              <w:t>41.6</w:t>
            </w:r>
          </w:p>
        </w:tc>
        <w:tc>
          <w:tcPr>
            <w:tcW w:w="67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b/>
                <w:bCs/>
                <w:sz w:val="28"/>
                <w:szCs w:val="28"/>
              </w:rPr>
            </w:pPr>
            <w:r>
              <w:rPr>
                <w:rFonts w:hint="eastAsia" w:ascii="仿宋_GB2312" w:eastAsia="仿宋_GB2312"/>
                <w:b/>
                <w:bCs/>
                <w:sz w:val="28"/>
                <w:szCs w:val="28"/>
              </w:rPr>
              <w:t>11.75</w:t>
            </w:r>
          </w:p>
        </w:tc>
      </w:tr>
      <w:tr>
        <w:tblPrEx>
          <w:tblCellMar>
            <w:top w:w="15" w:type="dxa"/>
            <w:left w:w="15" w:type="dxa"/>
            <w:bottom w:w="15" w:type="dxa"/>
            <w:right w:w="15" w:type="dxa"/>
          </w:tblCellMar>
        </w:tblPrEx>
        <w:trPr>
          <w:trHeight w:val="371" w:hRule="atLeast"/>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越城区</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22.61</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9.92</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5.62</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2.52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11.57</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5.88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hAnsi="宋体" w:eastAsia="仿宋_GB2312" w:cs="仿宋_GB2312"/>
                <w:sz w:val="28"/>
                <w:szCs w:val="28"/>
              </w:rPr>
              <w:t>2.49</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0.69</w:t>
            </w:r>
            <w:r>
              <w:rPr>
                <w:rFonts w:hint="eastAsia" w:ascii="仿宋_GB2312" w:eastAsia="仿宋_GB2312"/>
                <w:sz w:val="28"/>
                <w:szCs w:val="28"/>
              </w:rPr>
              <w:t xml:space="preserve"> </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hAnsi="宋体" w:eastAsia="仿宋_GB2312" w:cs="仿宋_GB2312"/>
                <w:sz w:val="28"/>
                <w:szCs w:val="28"/>
              </w:rPr>
              <w:t>2.93</w:t>
            </w:r>
          </w:p>
        </w:tc>
        <w:tc>
          <w:tcPr>
            <w:tcW w:w="67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0.</w:t>
            </w:r>
            <w:r>
              <w:rPr>
                <w:rFonts w:ascii="仿宋_GB2312" w:eastAsia="仿宋_GB2312"/>
                <w:sz w:val="28"/>
                <w:szCs w:val="28"/>
              </w:rPr>
              <w:t>83</w:t>
            </w:r>
          </w:p>
        </w:tc>
      </w:tr>
      <w:tr>
        <w:tblPrEx>
          <w:tblCellMar>
            <w:top w:w="15" w:type="dxa"/>
            <w:left w:w="15" w:type="dxa"/>
            <w:bottom w:w="15" w:type="dxa"/>
            <w:right w:w="15" w:type="dxa"/>
          </w:tblCellMar>
        </w:tblPrEx>
        <w:trPr>
          <w:trHeight w:val="371" w:hRule="atLeast"/>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柯桥区</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19.38</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8.51</w:t>
            </w:r>
            <w:r>
              <w:rPr>
                <w:rFonts w:hint="eastAsia" w:ascii="仿宋_GB2312" w:eastAsia="仿宋_GB2312"/>
                <w:sz w:val="28"/>
                <w:szCs w:val="28"/>
              </w:rPr>
              <w:t xml:space="preserve">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0.90</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0.40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12.80</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6.51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hAnsi="宋体" w:eastAsia="仿宋_GB2312" w:cs="仿宋_GB2312"/>
                <w:sz w:val="28"/>
                <w:szCs w:val="28"/>
              </w:rPr>
              <w:t>1.21</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0.34</w:t>
            </w:r>
            <w:r>
              <w:rPr>
                <w:rFonts w:hint="eastAsia" w:ascii="仿宋_GB2312" w:eastAsia="仿宋_GB2312"/>
                <w:sz w:val="28"/>
                <w:szCs w:val="28"/>
              </w:rPr>
              <w:t xml:space="preserve"> </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hAnsi="宋体" w:eastAsia="仿宋_GB2312" w:cs="仿宋_GB2312"/>
                <w:sz w:val="28"/>
                <w:szCs w:val="28"/>
              </w:rPr>
              <w:t>4.47</w:t>
            </w:r>
          </w:p>
        </w:tc>
        <w:tc>
          <w:tcPr>
            <w:tcW w:w="67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1.26</w:t>
            </w:r>
          </w:p>
        </w:tc>
      </w:tr>
      <w:tr>
        <w:tblPrEx>
          <w:tblCellMar>
            <w:top w:w="15" w:type="dxa"/>
            <w:left w:w="15" w:type="dxa"/>
            <w:bottom w:w="15" w:type="dxa"/>
            <w:right w:w="15" w:type="dxa"/>
          </w:tblCellMar>
        </w:tblPrEx>
        <w:trPr>
          <w:trHeight w:val="371" w:hRule="atLeast"/>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上虞区</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47.86</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21.34</w:t>
            </w:r>
            <w:r>
              <w:rPr>
                <w:rFonts w:hint="eastAsia" w:ascii="仿宋_GB2312" w:eastAsia="仿宋_GB2312"/>
                <w:sz w:val="28"/>
                <w:szCs w:val="28"/>
              </w:rPr>
              <w:t xml:space="preserve">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13.70</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6.14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24.63</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12.52</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4.43</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1.24</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5.10</w:t>
            </w:r>
          </w:p>
        </w:tc>
        <w:tc>
          <w:tcPr>
            <w:tcW w:w="67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1.44</w:t>
            </w:r>
          </w:p>
        </w:tc>
      </w:tr>
      <w:tr>
        <w:tblPrEx>
          <w:tblCellMar>
            <w:top w:w="15" w:type="dxa"/>
            <w:left w:w="15" w:type="dxa"/>
            <w:bottom w:w="15" w:type="dxa"/>
            <w:right w:w="15" w:type="dxa"/>
          </w:tblCellMar>
        </w:tblPrEx>
        <w:trPr>
          <w:trHeight w:val="371" w:hRule="atLeast"/>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诸暨市</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51.62</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22.58</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3.90</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1.75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32.55</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16.55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2.29</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0.64 </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12.88</w:t>
            </w:r>
          </w:p>
        </w:tc>
        <w:tc>
          <w:tcPr>
            <w:tcW w:w="67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3.64</w:t>
            </w:r>
          </w:p>
        </w:tc>
      </w:tr>
      <w:tr>
        <w:tblPrEx>
          <w:tblCellMar>
            <w:top w:w="15" w:type="dxa"/>
            <w:left w:w="15" w:type="dxa"/>
            <w:bottom w:w="15" w:type="dxa"/>
            <w:right w:w="15" w:type="dxa"/>
          </w:tblCellMar>
        </w:tblPrEx>
        <w:trPr>
          <w:trHeight w:val="371" w:hRule="atLeast"/>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嵊州市</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31.10</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13.</w:t>
            </w:r>
            <w:r>
              <w:rPr>
                <w:rFonts w:ascii="仿宋_GB2312" w:eastAsia="仿宋_GB2312"/>
                <w:sz w:val="28"/>
                <w:szCs w:val="28"/>
              </w:rPr>
              <w:t>11</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0.88</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0.39</w:t>
            </w:r>
            <w:r>
              <w:rPr>
                <w:rFonts w:hint="eastAsia" w:ascii="仿宋_GB2312" w:eastAsia="仿宋_GB2312"/>
                <w:sz w:val="28"/>
                <w:szCs w:val="28"/>
              </w:rPr>
              <w:t xml:space="preserve">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18.50</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9.42</w:t>
            </w:r>
            <w:r>
              <w:rPr>
                <w:rFonts w:hint="eastAsia" w:ascii="仿宋_GB2312" w:eastAsia="仿宋_GB2312"/>
                <w:sz w:val="28"/>
                <w:szCs w:val="28"/>
              </w:rPr>
              <w:t xml:space="preserve">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1.26</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0.35 </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10.46</w:t>
            </w:r>
          </w:p>
        </w:tc>
        <w:tc>
          <w:tcPr>
            <w:tcW w:w="67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2.95</w:t>
            </w:r>
          </w:p>
        </w:tc>
      </w:tr>
      <w:tr>
        <w:tblPrEx>
          <w:tblCellMar>
            <w:top w:w="15" w:type="dxa"/>
            <w:left w:w="15" w:type="dxa"/>
            <w:bottom w:w="15" w:type="dxa"/>
            <w:right w:w="15" w:type="dxa"/>
          </w:tblCellMar>
        </w:tblPrEx>
        <w:trPr>
          <w:trHeight w:val="371" w:hRule="atLeast"/>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新昌县</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11.83</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ascii="仿宋_GB2312" w:eastAsia="仿宋_GB2312"/>
                <w:sz w:val="28"/>
                <w:szCs w:val="28"/>
              </w:rPr>
              <w:t>4.59</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0</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0</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5.55</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2.82 </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0.52</w:t>
            </w:r>
          </w:p>
        </w:tc>
        <w:tc>
          <w:tcPr>
            <w:tcW w:w="413"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 xml:space="preserve">0.14 </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rPr>
              <w:t>5.76</w:t>
            </w:r>
          </w:p>
        </w:tc>
        <w:tc>
          <w:tcPr>
            <w:tcW w:w="670" w:type="pc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宋体" w:eastAsia="仿宋_GB2312" w:cs="仿宋_GB2312"/>
                <w:sz w:val="28"/>
                <w:szCs w:val="28"/>
              </w:rPr>
            </w:pPr>
            <w:r>
              <w:rPr>
                <w:rFonts w:hint="eastAsia" w:ascii="仿宋_GB2312" w:eastAsia="仿宋_GB2312"/>
                <w:sz w:val="28"/>
                <w:szCs w:val="28"/>
              </w:rPr>
              <w:t>1.63</w:t>
            </w:r>
          </w:p>
        </w:tc>
      </w:tr>
    </w:tbl>
    <w:p>
      <w:pPr>
        <w:spacing w:line="600" w:lineRule="exact"/>
        <w:rPr>
          <w:rFonts w:hint="default" w:ascii="仿宋_GB2312" w:eastAsia="仿宋_GB2312"/>
          <w:sz w:val="24"/>
          <w:lang w:val="en-US" w:eastAsia="zh-CN"/>
        </w:rPr>
        <w:sectPr>
          <w:headerReference r:id="rId7" w:type="default"/>
          <w:footerReference r:id="rId9" w:type="default"/>
          <w:headerReference r:id="rId8" w:type="even"/>
          <w:footerReference r:id="rId10" w:type="even"/>
          <w:pgSz w:w="16838" w:h="11906" w:orient="landscape"/>
          <w:pgMar w:top="1800" w:right="1440" w:bottom="1800" w:left="1440" w:header="851" w:footer="992" w:gutter="0"/>
          <w:pgNumType w:fmt="decimal"/>
          <w:cols w:space="425" w:num="1"/>
          <w:docGrid w:type="lines" w:linePitch="312" w:charSpace="0"/>
        </w:sectPr>
      </w:pPr>
    </w:p>
    <w:p>
      <w:pPr>
        <w:rPr>
          <w:rFonts w:eastAsia="黑体"/>
          <w:sz w:val="32"/>
          <w:szCs w:val="32"/>
        </w:rPr>
      </w:pPr>
      <w:r>
        <w:rPr>
          <w:rFonts w:eastAsia="黑体"/>
          <w:sz w:val="32"/>
          <w:szCs w:val="32"/>
        </w:rPr>
        <w:t>附</w:t>
      </w:r>
      <w:r>
        <w:rPr>
          <w:rFonts w:hint="eastAsia" w:eastAsia="黑体"/>
          <w:sz w:val="32"/>
          <w:szCs w:val="32"/>
        </w:rPr>
        <w:t>表</w:t>
      </w:r>
      <w:r>
        <w:rPr>
          <w:rFonts w:eastAsia="黑体"/>
          <w:sz w:val="32"/>
          <w:szCs w:val="32"/>
        </w:rPr>
        <w:t>2</w:t>
      </w:r>
    </w:p>
    <w:p>
      <w:pPr>
        <w:rPr>
          <w:rFonts w:eastAsia="黑体"/>
          <w:sz w:val="32"/>
          <w:szCs w:val="32"/>
        </w:rPr>
      </w:pPr>
    </w:p>
    <w:p>
      <w:pPr>
        <w:widowControl/>
        <w:spacing w:line="64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rPr>
        <w:t>2</w:t>
      </w:r>
      <w:r>
        <w:rPr>
          <w:rFonts w:eastAsia="方正小标宋简体"/>
          <w:sz w:val="44"/>
          <w:szCs w:val="44"/>
        </w:rPr>
        <w:t>年</w:t>
      </w:r>
      <w:r>
        <w:rPr>
          <w:rFonts w:hint="eastAsia" w:eastAsia="方正小标宋简体"/>
          <w:sz w:val="44"/>
          <w:szCs w:val="44"/>
        </w:rPr>
        <w:t>大豆</w:t>
      </w:r>
      <w:r>
        <w:rPr>
          <w:rFonts w:eastAsia="方正小标宋简体"/>
          <w:sz w:val="44"/>
          <w:szCs w:val="44"/>
        </w:rPr>
        <w:t>面积和产量</w:t>
      </w:r>
      <w:r>
        <w:rPr>
          <w:rFonts w:hint="eastAsia" w:eastAsia="方正小标宋简体"/>
          <w:sz w:val="44"/>
          <w:szCs w:val="44"/>
        </w:rPr>
        <w:t>任务</w:t>
      </w:r>
    </w:p>
    <w:p>
      <w:pPr>
        <w:ind w:firstLine="4480" w:firstLineChars="1400"/>
        <w:jc w:val="center"/>
        <w:rPr>
          <w:rFonts w:eastAsia="仿宋_GB2312"/>
          <w:sz w:val="32"/>
          <w:szCs w:val="32"/>
        </w:rPr>
      </w:pPr>
      <w:r>
        <w:rPr>
          <w:rFonts w:hint="eastAsia" w:eastAsia="仿宋_GB2312"/>
          <w:sz w:val="32"/>
          <w:szCs w:val="32"/>
        </w:rPr>
        <w:t xml:space="preserve">   </w:t>
      </w:r>
      <w:r>
        <w:rPr>
          <w:rFonts w:eastAsia="仿宋_GB2312"/>
          <w:sz w:val="32"/>
          <w:szCs w:val="32"/>
        </w:rPr>
        <w:t>单位:万亩、</w:t>
      </w:r>
      <w:r>
        <w:rPr>
          <w:rFonts w:hint="eastAsia" w:eastAsia="仿宋_GB2312"/>
          <w:sz w:val="32"/>
          <w:szCs w:val="32"/>
        </w:rPr>
        <w:t>万吨</w:t>
      </w:r>
    </w:p>
    <w:tbl>
      <w:tblPr>
        <w:tblStyle w:val="8"/>
        <w:tblW w:w="5000" w:type="pct"/>
        <w:jc w:val="center"/>
        <w:tblLayout w:type="autofit"/>
        <w:tblCellMar>
          <w:top w:w="0" w:type="dxa"/>
          <w:left w:w="0" w:type="dxa"/>
          <w:bottom w:w="0" w:type="dxa"/>
          <w:right w:w="0" w:type="dxa"/>
        </w:tblCellMar>
      </w:tblPr>
      <w:tblGrid>
        <w:gridCol w:w="2597"/>
        <w:gridCol w:w="2836"/>
        <w:gridCol w:w="3441"/>
      </w:tblGrid>
      <w:tr>
        <w:tblPrEx>
          <w:tblCellMar>
            <w:top w:w="0" w:type="dxa"/>
            <w:left w:w="0" w:type="dxa"/>
            <w:bottom w:w="0" w:type="dxa"/>
            <w:right w:w="0" w:type="dxa"/>
          </w:tblCellMar>
        </w:tblPrEx>
        <w:trPr>
          <w:trHeight w:val="460"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b/>
                <w:sz w:val="28"/>
                <w:szCs w:val="28"/>
              </w:rPr>
            </w:pPr>
            <w:r>
              <w:rPr>
                <w:rFonts w:hint="eastAsia" w:eastAsia="仿宋_GB2312"/>
                <w:b/>
                <w:sz w:val="28"/>
                <w:szCs w:val="28"/>
              </w:rPr>
              <w:t>地  区</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b/>
                <w:sz w:val="28"/>
                <w:szCs w:val="28"/>
              </w:rPr>
            </w:pPr>
            <w:r>
              <w:rPr>
                <w:rFonts w:eastAsia="仿宋_GB2312"/>
                <w:b/>
                <w:kern w:val="0"/>
                <w:sz w:val="28"/>
                <w:szCs w:val="28"/>
                <w:lang w:bidi="ar"/>
              </w:rPr>
              <w:t>面  积</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b/>
                <w:sz w:val="28"/>
                <w:szCs w:val="28"/>
              </w:rPr>
            </w:pPr>
            <w:r>
              <w:rPr>
                <w:rFonts w:eastAsia="仿宋_GB2312"/>
                <w:b/>
                <w:kern w:val="0"/>
                <w:sz w:val="28"/>
                <w:szCs w:val="28"/>
                <w:lang w:bidi="ar"/>
              </w:rPr>
              <w:t>总产量</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仿宋_GB2312" w:eastAsia="仿宋_GB2312"/>
                <w:b/>
                <w:sz w:val="28"/>
                <w:szCs w:val="28"/>
              </w:rPr>
            </w:pPr>
            <w:r>
              <w:rPr>
                <w:rFonts w:hint="eastAsia" w:ascii="仿宋_GB2312" w:eastAsia="仿宋_GB2312"/>
                <w:b/>
                <w:kern w:val="0"/>
                <w:sz w:val="28"/>
                <w:szCs w:val="28"/>
                <w:lang w:bidi="ar"/>
              </w:rPr>
              <w:t>全  市</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仿宋_GB2312" w:eastAsia="仿宋_GB2312"/>
                <w:b/>
                <w:sz w:val="28"/>
                <w:szCs w:val="28"/>
              </w:rPr>
            </w:pPr>
            <w:r>
              <w:rPr>
                <w:rFonts w:hint="eastAsia" w:ascii="仿宋_GB2312" w:eastAsia="仿宋_GB2312"/>
                <w:b/>
                <w:sz w:val="28"/>
                <w:szCs w:val="28"/>
              </w:rPr>
              <w:t>1</w:t>
            </w:r>
            <w:r>
              <w:rPr>
                <w:rFonts w:ascii="仿宋_GB2312" w:eastAsia="仿宋_GB2312"/>
                <w:b/>
                <w:sz w:val="28"/>
                <w:szCs w:val="28"/>
              </w:rPr>
              <w:t>5.36</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仿宋_GB2312" w:eastAsia="仿宋_GB2312"/>
                <w:b/>
                <w:sz w:val="28"/>
                <w:szCs w:val="28"/>
              </w:rPr>
            </w:pPr>
            <w:r>
              <w:rPr>
                <w:rFonts w:hint="eastAsia" w:ascii="仿宋_GB2312" w:eastAsia="仿宋_GB2312"/>
                <w:b/>
                <w:sz w:val="28"/>
                <w:szCs w:val="28"/>
              </w:rPr>
              <w:t>3</w:t>
            </w:r>
            <w:r>
              <w:rPr>
                <w:rFonts w:ascii="仿宋_GB2312" w:eastAsia="仿宋_GB2312"/>
                <w:b/>
                <w:sz w:val="28"/>
                <w:szCs w:val="28"/>
              </w:rPr>
              <w:t>.08</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越城区</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1</w:t>
            </w:r>
            <w:r>
              <w:rPr>
                <w:rFonts w:ascii="仿宋_GB2312" w:eastAsia="仿宋_GB2312"/>
                <w:bCs/>
                <w:kern w:val="0"/>
                <w:sz w:val="28"/>
                <w:szCs w:val="28"/>
              </w:rPr>
              <w:t>.65</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0</w:t>
            </w:r>
            <w:r>
              <w:rPr>
                <w:rFonts w:ascii="仿宋_GB2312" w:eastAsia="仿宋_GB2312"/>
                <w:bCs/>
                <w:kern w:val="0"/>
                <w:sz w:val="28"/>
                <w:szCs w:val="28"/>
              </w:rPr>
              <w:t>.33</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柯桥区</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1</w:t>
            </w:r>
            <w:r>
              <w:rPr>
                <w:rFonts w:ascii="仿宋_GB2312" w:eastAsia="仿宋_GB2312"/>
                <w:bCs/>
                <w:kern w:val="0"/>
                <w:sz w:val="28"/>
                <w:szCs w:val="28"/>
              </w:rPr>
              <w:t>.02</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0</w:t>
            </w:r>
            <w:r>
              <w:rPr>
                <w:rFonts w:ascii="仿宋_GB2312" w:eastAsia="仿宋_GB2312"/>
                <w:bCs/>
                <w:kern w:val="0"/>
                <w:sz w:val="28"/>
                <w:szCs w:val="28"/>
              </w:rPr>
              <w:t>.22</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上虞区</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4</w:t>
            </w:r>
            <w:r>
              <w:rPr>
                <w:rFonts w:ascii="仿宋_GB2312" w:eastAsia="仿宋_GB2312"/>
                <w:bCs/>
                <w:kern w:val="0"/>
                <w:sz w:val="28"/>
                <w:szCs w:val="28"/>
              </w:rPr>
              <w:t>.25</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0</w:t>
            </w:r>
            <w:r>
              <w:rPr>
                <w:rFonts w:ascii="仿宋_GB2312" w:eastAsia="仿宋_GB2312"/>
                <w:bCs/>
                <w:kern w:val="0"/>
                <w:sz w:val="28"/>
                <w:szCs w:val="28"/>
              </w:rPr>
              <w:t>.86</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诸暨市</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3</w:t>
            </w:r>
            <w:r>
              <w:rPr>
                <w:rFonts w:ascii="仿宋_GB2312" w:eastAsia="仿宋_GB2312"/>
                <w:bCs/>
                <w:kern w:val="0"/>
                <w:sz w:val="28"/>
                <w:szCs w:val="28"/>
              </w:rPr>
              <w:t>.87</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0</w:t>
            </w:r>
            <w:r>
              <w:rPr>
                <w:rFonts w:ascii="仿宋_GB2312" w:eastAsia="仿宋_GB2312"/>
                <w:bCs/>
                <w:kern w:val="0"/>
                <w:sz w:val="28"/>
                <w:szCs w:val="28"/>
              </w:rPr>
              <w:t>.78</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嵊州市</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3</w:t>
            </w:r>
            <w:r>
              <w:rPr>
                <w:rFonts w:ascii="仿宋_GB2312" w:eastAsia="仿宋_GB2312"/>
                <w:bCs/>
                <w:kern w:val="0"/>
                <w:sz w:val="28"/>
                <w:szCs w:val="28"/>
              </w:rPr>
              <w:t>.29</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0</w:t>
            </w:r>
            <w:r>
              <w:rPr>
                <w:rFonts w:ascii="仿宋_GB2312" w:eastAsia="仿宋_GB2312"/>
                <w:bCs/>
                <w:kern w:val="0"/>
                <w:sz w:val="28"/>
                <w:szCs w:val="28"/>
              </w:rPr>
              <w:t>.64</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新昌县</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1</w:t>
            </w:r>
            <w:r>
              <w:rPr>
                <w:rFonts w:ascii="仿宋_GB2312" w:eastAsia="仿宋_GB2312"/>
                <w:bCs/>
                <w:kern w:val="0"/>
                <w:sz w:val="28"/>
                <w:szCs w:val="28"/>
              </w:rPr>
              <w:t>.28</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kern w:val="0"/>
                <w:sz w:val="28"/>
                <w:szCs w:val="28"/>
              </w:rPr>
              <w:t>0</w:t>
            </w:r>
            <w:r>
              <w:rPr>
                <w:rFonts w:ascii="仿宋_GB2312" w:eastAsia="仿宋_GB2312"/>
                <w:bCs/>
                <w:kern w:val="0"/>
                <w:sz w:val="28"/>
                <w:szCs w:val="28"/>
              </w:rPr>
              <w:t>.25</w:t>
            </w:r>
          </w:p>
        </w:tc>
      </w:tr>
    </w:tbl>
    <w:p>
      <w:pPr>
        <w:widowControl/>
        <w:jc w:val="left"/>
        <w:rPr>
          <w:rFonts w:eastAsia="黑体"/>
          <w:sz w:val="32"/>
          <w:szCs w:val="32"/>
        </w:rPr>
      </w:pPr>
    </w:p>
    <w:p>
      <w:pPr>
        <w:widowControl/>
        <w:jc w:val="left"/>
        <w:rPr>
          <w:rFonts w:eastAsia="黑体"/>
          <w:sz w:val="32"/>
          <w:szCs w:val="32"/>
        </w:rPr>
      </w:pPr>
      <w:r>
        <w:rPr>
          <w:rFonts w:eastAsia="黑体"/>
          <w:sz w:val="32"/>
          <w:szCs w:val="32"/>
        </w:rPr>
        <w:br w:type="page"/>
      </w:r>
    </w:p>
    <w:p>
      <w:pPr>
        <w:rPr>
          <w:rFonts w:eastAsia="黑体"/>
          <w:sz w:val="32"/>
          <w:szCs w:val="32"/>
        </w:rPr>
      </w:pPr>
      <w:r>
        <w:rPr>
          <w:rFonts w:eastAsia="黑体"/>
          <w:sz w:val="32"/>
          <w:szCs w:val="32"/>
        </w:rPr>
        <w:t>附</w:t>
      </w:r>
      <w:r>
        <w:rPr>
          <w:rFonts w:hint="eastAsia" w:eastAsia="黑体"/>
          <w:sz w:val="32"/>
          <w:szCs w:val="32"/>
        </w:rPr>
        <w:t>表</w:t>
      </w:r>
      <w:r>
        <w:rPr>
          <w:rFonts w:eastAsia="黑体"/>
          <w:sz w:val="32"/>
          <w:szCs w:val="32"/>
        </w:rPr>
        <w:t>3</w:t>
      </w:r>
    </w:p>
    <w:p>
      <w:pPr>
        <w:spacing w:line="600" w:lineRule="exact"/>
        <w:rPr>
          <w:rFonts w:eastAsia="黑体"/>
          <w:sz w:val="32"/>
          <w:szCs w:val="32"/>
        </w:rPr>
      </w:pPr>
    </w:p>
    <w:p>
      <w:pPr>
        <w:widowControl/>
        <w:spacing w:line="64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rPr>
        <w:t>2</w:t>
      </w:r>
      <w:r>
        <w:rPr>
          <w:rFonts w:eastAsia="方正小标宋简体"/>
          <w:sz w:val="44"/>
          <w:szCs w:val="44"/>
        </w:rPr>
        <w:t>年油菜面积和产量</w:t>
      </w:r>
      <w:r>
        <w:rPr>
          <w:rFonts w:hint="eastAsia" w:eastAsia="方正小标宋简体"/>
          <w:sz w:val="44"/>
          <w:szCs w:val="44"/>
        </w:rPr>
        <w:t>任务</w:t>
      </w:r>
    </w:p>
    <w:p>
      <w:pPr>
        <w:ind w:firstLine="4480" w:firstLineChars="1400"/>
        <w:jc w:val="center"/>
        <w:rPr>
          <w:rFonts w:eastAsia="仿宋_GB2312"/>
          <w:sz w:val="32"/>
          <w:szCs w:val="32"/>
        </w:rPr>
      </w:pPr>
      <w:r>
        <w:rPr>
          <w:rFonts w:hint="eastAsia" w:eastAsia="仿宋_GB2312"/>
          <w:sz w:val="32"/>
          <w:szCs w:val="32"/>
        </w:rPr>
        <w:t xml:space="preserve">   </w:t>
      </w:r>
      <w:r>
        <w:rPr>
          <w:rFonts w:eastAsia="仿宋_GB2312"/>
          <w:sz w:val="32"/>
          <w:szCs w:val="32"/>
        </w:rPr>
        <w:t>单位:万亩、</w:t>
      </w:r>
      <w:r>
        <w:rPr>
          <w:rFonts w:hint="eastAsia" w:eastAsia="仿宋_GB2312"/>
          <w:sz w:val="32"/>
          <w:szCs w:val="32"/>
        </w:rPr>
        <w:t>吨</w:t>
      </w:r>
    </w:p>
    <w:tbl>
      <w:tblPr>
        <w:tblStyle w:val="8"/>
        <w:tblW w:w="5000" w:type="pct"/>
        <w:jc w:val="center"/>
        <w:tblLayout w:type="autofit"/>
        <w:tblCellMar>
          <w:top w:w="0" w:type="dxa"/>
          <w:left w:w="0" w:type="dxa"/>
          <w:bottom w:w="0" w:type="dxa"/>
          <w:right w:w="0" w:type="dxa"/>
        </w:tblCellMar>
      </w:tblPr>
      <w:tblGrid>
        <w:gridCol w:w="2597"/>
        <w:gridCol w:w="2836"/>
        <w:gridCol w:w="3441"/>
      </w:tblGrid>
      <w:tr>
        <w:tblPrEx>
          <w:tblCellMar>
            <w:top w:w="0" w:type="dxa"/>
            <w:left w:w="0" w:type="dxa"/>
            <w:bottom w:w="0" w:type="dxa"/>
            <w:right w:w="0" w:type="dxa"/>
          </w:tblCellMar>
        </w:tblPrEx>
        <w:trPr>
          <w:trHeight w:val="460"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b/>
                <w:sz w:val="28"/>
                <w:szCs w:val="28"/>
              </w:rPr>
            </w:pPr>
            <w:r>
              <w:rPr>
                <w:rFonts w:hint="eastAsia" w:eastAsia="仿宋_GB2312"/>
                <w:b/>
                <w:sz w:val="28"/>
                <w:szCs w:val="28"/>
              </w:rPr>
              <w:t>地  区</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b/>
                <w:sz w:val="28"/>
                <w:szCs w:val="28"/>
              </w:rPr>
            </w:pPr>
            <w:r>
              <w:rPr>
                <w:rFonts w:eastAsia="仿宋_GB2312"/>
                <w:b/>
                <w:kern w:val="0"/>
                <w:sz w:val="28"/>
                <w:szCs w:val="28"/>
                <w:lang w:bidi="ar"/>
              </w:rPr>
              <w:t>面  积</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b/>
                <w:sz w:val="28"/>
                <w:szCs w:val="28"/>
              </w:rPr>
            </w:pPr>
            <w:r>
              <w:rPr>
                <w:rFonts w:eastAsia="仿宋_GB2312"/>
                <w:b/>
                <w:kern w:val="0"/>
                <w:sz w:val="28"/>
                <w:szCs w:val="28"/>
                <w:lang w:bidi="ar"/>
              </w:rPr>
              <w:t>总产量</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仿宋_GB2312" w:eastAsia="仿宋_GB2312"/>
                <w:b/>
                <w:sz w:val="28"/>
                <w:szCs w:val="28"/>
              </w:rPr>
            </w:pPr>
            <w:r>
              <w:rPr>
                <w:rFonts w:hint="eastAsia" w:ascii="仿宋_GB2312" w:eastAsia="仿宋_GB2312"/>
                <w:b/>
                <w:kern w:val="0"/>
                <w:sz w:val="28"/>
                <w:szCs w:val="28"/>
                <w:lang w:bidi="ar"/>
              </w:rPr>
              <w:t>全  市</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仿宋_GB2312" w:eastAsia="仿宋_GB2312"/>
                <w:b/>
                <w:sz w:val="28"/>
                <w:szCs w:val="28"/>
              </w:rPr>
            </w:pPr>
            <w:r>
              <w:rPr>
                <w:rFonts w:hint="eastAsia" w:ascii="仿宋_GB2312" w:eastAsia="仿宋_GB2312"/>
                <w:b/>
                <w:kern w:val="0"/>
                <w:sz w:val="28"/>
                <w:szCs w:val="28"/>
                <w:lang w:bidi="ar"/>
              </w:rPr>
              <w:t>16.42</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仿宋_GB2312" w:eastAsia="仿宋_GB2312"/>
                <w:b/>
                <w:sz w:val="28"/>
                <w:szCs w:val="28"/>
              </w:rPr>
            </w:pPr>
            <w:r>
              <w:rPr>
                <w:rFonts w:hint="eastAsia" w:ascii="仿宋_GB2312" w:eastAsia="仿宋_GB2312"/>
                <w:b/>
                <w:kern w:val="0"/>
                <w:sz w:val="28"/>
                <w:szCs w:val="28"/>
                <w:lang w:bidi="ar"/>
              </w:rPr>
              <w:t>24500</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越城区</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ascii="仿宋_GB2312" w:eastAsia="仿宋_GB2312"/>
                <w:bCs/>
                <w:sz w:val="28"/>
                <w:szCs w:val="28"/>
              </w:rPr>
              <w:t>1.68</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ascii="仿宋_GB2312" w:eastAsia="仿宋_GB2312"/>
                <w:bCs/>
                <w:sz w:val="28"/>
                <w:szCs w:val="28"/>
              </w:rPr>
              <w:t>3000</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柯桥区</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ascii="仿宋_GB2312" w:eastAsia="仿宋_GB2312"/>
                <w:bCs/>
                <w:sz w:val="28"/>
                <w:szCs w:val="28"/>
              </w:rPr>
              <w:t>1.85</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ascii="仿宋_GB2312" w:eastAsia="仿宋_GB2312"/>
                <w:bCs/>
                <w:sz w:val="28"/>
                <w:szCs w:val="28"/>
              </w:rPr>
              <w:t>2900</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上虞区</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sz w:val="28"/>
                <w:szCs w:val="28"/>
              </w:rPr>
              <w:t>4.37</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sz w:val="28"/>
                <w:szCs w:val="28"/>
              </w:rPr>
              <w:t>6900</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诸暨市</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ascii="仿宋_GB2312" w:eastAsia="仿宋_GB2312"/>
                <w:bCs/>
                <w:sz w:val="28"/>
                <w:szCs w:val="28"/>
              </w:rPr>
              <w:t>2.36</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ascii="仿宋_GB2312" w:eastAsia="仿宋_GB2312"/>
                <w:bCs/>
                <w:sz w:val="28"/>
                <w:szCs w:val="28"/>
              </w:rPr>
              <w:t>3300</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嵊州市</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hint="eastAsia" w:ascii="仿宋_GB2312" w:eastAsia="仿宋_GB2312"/>
                <w:bCs/>
                <w:sz w:val="28"/>
                <w:szCs w:val="28"/>
              </w:rPr>
              <w:t>1.82</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ascii="仿宋_GB2312" w:eastAsia="仿宋_GB2312"/>
                <w:bCs/>
                <w:sz w:val="28"/>
                <w:szCs w:val="28"/>
              </w:rPr>
              <w:t>2200</w:t>
            </w:r>
          </w:p>
        </w:tc>
      </w:tr>
      <w:tr>
        <w:tblPrEx>
          <w:tblCellMar>
            <w:top w:w="0" w:type="dxa"/>
            <w:left w:w="0" w:type="dxa"/>
            <w:bottom w:w="0" w:type="dxa"/>
            <w:right w:w="0" w:type="dxa"/>
          </w:tblCellMar>
        </w:tblPrEx>
        <w:trPr>
          <w:trHeight w:val="375" w:hRule="atLeast"/>
          <w:jc w:val="center"/>
        </w:trPr>
        <w:tc>
          <w:tcPr>
            <w:tcW w:w="14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bCs/>
                <w:sz w:val="28"/>
                <w:szCs w:val="28"/>
              </w:rPr>
            </w:pPr>
            <w:r>
              <w:rPr>
                <w:rFonts w:hint="eastAsia" w:ascii="仿宋_GB2312" w:eastAsia="仿宋_GB2312"/>
                <w:bCs/>
                <w:sz w:val="28"/>
                <w:szCs w:val="28"/>
              </w:rPr>
              <w:t>新昌县</w:t>
            </w:r>
          </w:p>
        </w:tc>
        <w:tc>
          <w:tcPr>
            <w:tcW w:w="15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ascii="仿宋_GB2312" w:eastAsia="仿宋_GB2312"/>
                <w:bCs/>
                <w:sz w:val="28"/>
                <w:szCs w:val="28"/>
              </w:rPr>
              <w:t>4.34</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eastAsia="仿宋_GB2312"/>
                <w:bCs/>
                <w:kern w:val="0"/>
                <w:sz w:val="28"/>
                <w:szCs w:val="28"/>
              </w:rPr>
            </w:pPr>
            <w:r>
              <w:rPr>
                <w:rFonts w:ascii="仿宋_GB2312" w:eastAsia="仿宋_GB2312"/>
                <w:bCs/>
                <w:sz w:val="28"/>
                <w:szCs w:val="28"/>
              </w:rPr>
              <w:t>6200</w:t>
            </w:r>
          </w:p>
        </w:tc>
      </w:tr>
    </w:tbl>
    <w:p>
      <w:pPr>
        <w:rPr>
          <w:rFonts w:eastAsia="仿宋_GB2312"/>
          <w:sz w:val="32"/>
          <w:szCs w:val="32"/>
        </w:rPr>
      </w:pPr>
    </w:p>
    <w:p>
      <w:pPr>
        <w:rPr>
          <w:rFonts w:eastAsia="黑体"/>
          <w:sz w:val="32"/>
          <w:szCs w:val="32"/>
        </w:rPr>
      </w:pPr>
      <w:r>
        <w:rPr>
          <w:rFonts w:eastAsia="仿宋_GB2312"/>
          <w:sz w:val="32"/>
          <w:szCs w:val="32"/>
        </w:rPr>
        <w:br w:type="page"/>
      </w:r>
      <w:r>
        <w:rPr>
          <w:rFonts w:hint="eastAsia" w:eastAsia="黑体"/>
          <w:sz w:val="32"/>
          <w:szCs w:val="32"/>
        </w:rPr>
        <w:t>附表</w:t>
      </w:r>
      <w:r>
        <w:rPr>
          <w:rFonts w:eastAsia="黑体"/>
          <w:sz w:val="32"/>
          <w:szCs w:val="32"/>
        </w:rPr>
        <w:t>4</w:t>
      </w:r>
    </w:p>
    <w:p>
      <w:pPr>
        <w:pStyle w:val="2"/>
      </w:pPr>
    </w:p>
    <w:p>
      <w:pPr>
        <w:widowControl/>
        <w:spacing w:line="640" w:lineRule="exact"/>
        <w:jc w:val="center"/>
        <w:rPr>
          <w:rFonts w:eastAsia="方正小标宋简体"/>
          <w:sz w:val="44"/>
          <w:szCs w:val="44"/>
        </w:rPr>
      </w:pPr>
      <w:r>
        <w:rPr>
          <w:rFonts w:hint="eastAsia" w:eastAsia="方正小标宋简体"/>
          <w:sz w:val="44"/>
          <w:szCs w:val="44"/>
        </w:rPr>
        <w:t>2022年全市粮油储备和粮食保供稳价</w:t>
      </w:r>
    </w:p>
    <w:p>
      <w:pPr>
        <w:widowControl/>
        <w:spacing w:line="640" w:lineRule="exact"/>
        <w:jc w:val="center"/>
        <w:rPr>
          <w:rFonts w:eastAsia="方正小标宋简体"/>
          <w:sz w:val="44"/>
          <w:szCs w:val="44"/>
        </w:rPr>
      </w:pPr>
      <w:r>
        <w:rPr>
          <w:rFonts w:hint="eastAsia" w:eastAsia="方正小标宋简体"/>
          <w:sz w:val="44"/>
          <w:szCs w:val="44"/>
        </w:rPr>
        <w:t>骨干企业指标分解</w:t>
      </w:r>
    </w:p>
    <w:p>
      <w:pPr>
        <w:widowControl/>
        <w:autoSpaceDE w:val="0"/>
        <w:autoSpaceDN w:val="0"/>
        <w:adjustRightInd w:val="0"/>
        <w:jc w:val="left"/>
        <w:rPr>
          <w:rFonts w:ascii="仿宋_GB2312" w:hAnsi="宋体" w:eastAsia="仿宋_GB2312"/>
          <w:kern w:val="0"/>
          <w:sz w:val="24"/>
        </w:rPr>
      </w:pPr>
      <w:r>
        <w:rPr>
          <w:rFonts w:hint="eastAsia" w:ascii="仿宋_GB2312" w:hAnsi="宋体" w:eastAsia="仿宋_GB2312"/>
          <w:kern w:val="0"/>
          <w:sz w:val="24"/>
        </w:rPr>
        <w:t xml:space="preserve"> </w:t>
      </w:r>
    </w:p>
    <w:tbl>
      <w:tblPr>
        <w:tblStyle w:val="8"/>
        <w:tblW w:w="9257" w:type="dxa"/>
        <w:jc w:val="center"/>
        <w:tblLayout w:type="fixed"/>
        <w:tblCellMar>
          <w:top w:w="0" w:type="dxa"/>
          <w:left w:w="0" w:type="dxa"/>
          <w:bottom w:w="0" w:type="dxa"/>
          <w:right w:w="0" w:type="dxa"/>
        </w:tblCellMar>
      </w:tblPr>
      <w:tblGrid>
        <w:gridCol w:w="1242"/>
        <w:gridCol w:w="2100"/>
        <w:gridCol w:w="1975"/>
        <w:gridCol w:w="1979"/>
        <w:gridCol w:w="1961"/>
      </w:tblGrid>
      <w:tr>
        <w:tblPrEx>
          <w:tblCellMar>
            <w:top w:w="0" w:type="dxa"/>
            <w:left w:w="0" w:type="dxa"/>
            <w:bottom w:w="0" w:type="dxa"/>
            <w:right w:w="0" w:type="dxa"/>
          </w:tblCellMar>
        </w:tblPrEx>
        <w:trPr>
          <w:trHeight w:val="1199" w:hRule="atLeast"/>
          <w:jc w:val="center"/>
        </w:trPr>
        <w:tc>
          <w:tcPr>
            <w:tcW w:w="1242" w:type="dxa"/>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widowControl/>
              <w:spacing w:line="360" w:lineRule="exact"/>
              <w:jc w:val="center"/>
              <w:rPr>
                <w:rFonts w:eastAsia="仿宋_GB2312"/>
                <w:b/>
                <w:bCs/>
                <w:kern w:val="0"/>
                <w:sz w:val="28"/>
                <w:szCs w:val="28"/>
              </w:rPr>
            </w:pPr>
            <w:r>
              <w:rPr>
                <w:rFonts w:hint="eastAsia" w:eastAsia="仿宋_GB2312"/>
                <w:b/>
                <w:bCs/>
                <w:kern w:val="0"/>
                <w:sz w:val="28"/>
                <w:szCs w:val="28"/>
              </w:rPr>
              <w:t>地  区</w:t>
            </w:r>
          </w:p>
        </w:tc>
        <w:tc>
          <w:tcPr>
            <w:tcW w:w="21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60" w:lineRule="exact"/>
              <w:jc w:val="center"/>
              <w:rPr>
                <w:rFonts w:eastAsia="仿宋_GB2312"/>
                <w:b/>
                <w:bCs/>
                <w:kern w:val="0"/>
                <w:sz w:val="28"/>
                <w:szCs w:val="28"/>
              </w:rPr>
            </w:pPr>
            <w:r>
              <w:rPr>
                <w:rFonts w:hint="eastAsia" w:eastAsia="仿宋_GB2312"/>
                <w:b/>
                <w:bCs/>
                <w:kern w:val="0"/>
                <w:sz w:val="28"/>
                <w:szCs w:val="28"/>
              </w:rPr>
              <w:t>粮食储备规模</w:t>
            </w:r>
          </w:p>
          <w:p>
            <w:pPr>
              <w:widowControl/>
              <w:spacing w:line="360" w:lineRule="exact"/>
              <w:jc w:val="center"/>
              <w:rPr>
                <w:rFonts w:eastAsia="仿宋_GB2312"/>
                <w:b/>
                <w:bCs/>
                <w:kern w:val="0"/>
                <w:sz w:val="28"/>
                <w:szCs w:val="28"/>
              </w:rPr>
            </w:pPr>
            <w:r>
              <w:rPr>
                <w:rFonts w:hint="eastAsia" w:eastAsia="仿宋_GB2312"/>
                <w:b/>
                <w:bCs/>
                <w:kern w:val="0"/>
                <w:sz w:val="28"/>
                <w:szCs w:val="28"/>
              </w:rPr>
              <w:t>（万吨）</w:t>
            </w:r>
          </w:p>
        </w:tc>
        <w:tc>
          <w:tcPr>
            <w:tcW w:w="19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rPr>
                <w:rFonts w:eastAsia="仿宋_GB2312"/>
                <w:b/>
                <w:bCs/>
                <w:kern w:val="0"/>
                <w:sz w:val="28"/>
                <w:szCs w:val="28"/>
              </w:rPr>
            </w:pPr>
            <w:r>
              <w:rPr>
                <w:rFonts w:hint="eastAsia" w:eastAsia="仿宋_GB2312"/>
                <w:b/>
                <w:bCs/>
                <w:kern w:val="0"/>
                <w:sz w:val="28"/>
                <w:szCs w:val="28"/>
              </w:rPr>
              <w:t>其中：成品粮规模（吨）</w:t>
            </w:r>
          </w:p>
        </w:tc>
        <w:tc>
          <w:tcPr>
            <w:tcW w:w="1979"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spacing w:line="360" w:lineRule="exact"/>
              <w:jc w:val="center"/>
              <w:rPr>
                <w:rFonts w:eastAsia="仿宋_GB2312"/>
                <w:b/>
                <w:bCs/>
                <w:kern w:val="0"/>
                <w:sz w:val="28"/>
                <w:szCs w:val="28"/>
              </w:rPr>
            </w:pPr>
            <w:r>
              <w:rPr>
                <w:rFonts w:hint="eastAsia" w:eastAsia="仿宋_GB2312"/>
                <w:b/>
                <w:bCs/>
                <w:kern w:val="0"/>
                <w:sz w:val="28"/>
                <w:szCs w:val="28"/>
              </w:rPr>
              <w:t>食用油储备规模（吨）</w:t>
            </w:r>
          </w:p>
        </w:tc>
        <w:tc>
          <w:tcPr>
            <w:tcW w:w="1961"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spacing w:line="360" w:lineRule="exact"/>
              <w:jc w:val="center"/>
              <w:rPr>
                <w:rFonts w:eastAsia="仿宋_GB2312"/>
                <w:b/>
                <w:bCs/>
                <w:kern w:val="0"/>
                <w:sz w:val="28"/>
                <w:szCs w:val="28"/>
              </w:rPr>
            </w:pPr>
            <w:r>
              <w:rPr>
                <w:rFonts w:hint="eastAsia" w:eastAsia="仿宋_GB2312"/>
                <w:b/>
                <w:bCs/>
                <w:kern w:val="0"/>
                <w:sz w:val="28"/>
                <w:szCs w:val="28"/>
              </w:rPr>
              <w:t>粮食保供稳价骨干企业（家）</w:t>
            </w:r>
          </w:p>
        </w:tc>
      </w:tr>
      <w:tr>
        <w:tblPrEx>
          <w:tblCellMar>
            <w:top w:w="0" w:type="dxa"/>
            <w:left w:w="0" w:type="dxa"/>
            <w:bottom w:w="0" w:type="dxa"/>
            <w:right w:w="0" w:type="dxa"/>
          </w:tblCellMar>
        </w:tblPrEx>
        <w:trPr>
          <w:trHeight w:val="691" w:hRule="atLeast"/>
          <w:jc w:val="center"/>
        </w:trPr>
        <w:tc>
          <w:tcPr>
            <w:tcW w:w="1242"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eastAsia="仿宋_GB2312"/>
                <w:kern w:val="0"/>
                <w:sz w:val="28"/>
                <w:szCs w:val="28"/>
              </w:rPr>
            </w:pPr>
            <w:r>
              <w:rPr>
                <w:rFonts w:eastAsia="仿宋_GB2312"/>
                <w:b/>
                <w:bCs/>
                <w:kern w:val="0"/>
                <w:sz w:val="28"/>
                <w:szCs w:val="28"/>
              </w:rPr>
              <w:t>全  市</w:t>
            </w:r>
          </w:p>
        </w:tc>
        <w:tc>
          <w:tcPr>
            <w:tcW w:w="2100"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仿宋_GB2312"/>
                <w:b/>
                <w:kern w:val="0"/>
                <w:sz w:val="28"/>
                <w:szCs w:val="28"/>
                <w:lang w:bidi="ar"/>
              </w:rPr>
            </w:pPr>
            <w:r>
              <w:rPr>
                <w:rFonts w:hint="eastAsia" w:eastAsia="仿宋_GB2312"/>
                <w:b/>
                <w:kern w:val="0"/>
                <w:sz w:val="28"/>
                <w:szCs w:val="28"/>
                <w:lang w:bidi="ar"/>
              </w:rPr>
              <w:t>42.41</w:t>
            </w:r>
          </w:p>
        </w:tc>
        <w:tc>
          <w:tcPr>
            <w:tcW w:w="1975"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仿宋_GB2312"/>
                <w:b/>
                <w:kern w:val="0"/>
                <w:sz w:val="28"/>
                <w:szCs w:val="28"/>
                <w:lang w:bidi="ar"/>
              </w:rPr>
            </w:pPr>
            <w:r>
              <w:rPr>
                <w:rFonts w:hint="eastAsia" w:eastAsia="仿宋_GB2312"/>
                <w:b/>
                <w:kern w:val="0"/>
                <w:sz w:val="28"/>
                <w:szCs w:val="28"/>
                <w:lang w:bidi="ar"/>
              </w:rPr>
              <w:t>21790</w:t>
            </w:r>
          </w:p>
        </w:tc>
        <w:tc>
          <w:tcPr>
            <w:tcW w:w="1979"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textAlignment w:val="center"/>
              <w:rPr>
                <w:rFonts w:eastAsia="仿宋_GB2312"/>
                <w:b/>
                <w:kern w:val="0"/>
                <w:sz w:val="28"/>
                <w:szCs w:val="28"/>
                <w:lang w:bidi="ar"/>
              </w:rPr>
            </w:pPr>
            <w:r>
              <w:rPr>
                <w:rFonts w:hint="eastAsia" w:eastAsia="仿宋_GB2312"/>
                <w:b/>
                <w:kern w:val="0"/>
                <w:sz w:val="28"/>
                <w:szCs w:val="28"/>
                <w:lang w:bidi="ar"/>
              </w:rPr>
              <w:t>975</w:t>
            </w:r>
          </w:p>
        </w:tc>
        <w:tc>
          <w:tcPr>
            <w:tcW w:w="1961"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textAlignment w:val="center"/>
              <w:rPr>
                <w:rFonts w:eastAsia="仿宋_GB2312"/>
                <w:b/>
                <w:kern w:val="0"/>
                <w:sz w:val="28"/>
                <w:szCs w:val="28"/>
                <w:lang w:bidi="ar"/>
              </w:rPr>
            </w:pPr>
            <w:r>
              <w:rPr>
                <w:rFonts w:hint="eastAsia" w:eastAsia="仿宋_GB2312"/>
                <w:b/>
                <w:kern w:val="0"/>
                <w:sz w:val="28"/>
                <w:szCs w:val="28"/>
                <w:lang w:bidi="ar"/>
              </w:rPr>
              <w:t>10</w:t>
            </w:r>
          </w:p>
        </w:tc>
      </w:tr>
      <w:tr>
        <w:tblPrEx>
          <w:tblCellMar>
            <w:top w:w="0" w:type="dxa"/>
            <w:left w:w="0" w:type="dxa"/>
            <w:bottom w:w="0" w:type="dxa"/>
            <w:right w:w="0" w:type="dxa"/>
          </w:tblCellMar>
        </w:tblPrEx>
        <w:trPr>
          <w:trHeight w:val="691" w:hRule="atLeast"/>
          <w:jc w:val="center"/>
        </w:trPr>
        <w:tc>
          <w:tcPr>
            <w:tcW w:w="1242" w:type="dxa"/>
            <w:tcBorders>
              <w:top w:val="single" w:color="000000"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eastAsia="仿宋_GB2312"/>
                <w:kern w:val="0"/>
                <w:sz w:val="28"/>
                <w:szCs w:val="28"/>
              </w:rPr>
            </w:pPr>
            <w:r>
              <w:rPr>
                <w:rFonts w:eastAsia="仿宋_GB2312"/>
                <w:kern w:val="0"/>
                <w:sz w:val="28"/>
                <w:szCs w:val="28"/>
              </w:rPr>
              <w:t>越城区</w:t>
            </w:r>
          </w:p>
        </w:tc>
        <w:tc>
          <w:tcPr>
            <w:tcW w:w="2100"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7.33</w:t>
            </w:r>
          </w:p>
        </w:tc>
        <w:tc>
          <w:tcPr>
            <w:tcW w:w="1975"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6430</w:t>
            </w:r>
          </w:p>
        </w:tc>
        <w:tc>
          <w:tcPr>
            <w:tcW w:w="1979" w:type="dxa"/>
            <w:tcBorders>
              <w:top w:val="single" w:color="000000" w:sz="4" w:space="0"/>
              <w:left w:val="nil"/>
              <w:bottom w:val="single" w:color="auto" w:sz="4" w:space="0"/>
              <w:right w:val="single" w:color="auto"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225</w:t>
            </w:r>
          </w:p>
        </w:tc>
        <w:tc>
          <w:tcPr>
            <w:tcW w:w="1961" w:type="dxa"/>
            <w:tcBorders>
              <w:top w:val="single" w:color="000000" w:sz="4" w:space="0"/>
              <w:left w:val="nil"/>
              <w:bottom w:val="single" w:color="auto" w:sz="4" w:space="0"/>
              <w:right w:val="single" w:color="auto"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2</w:t>
            </w:r>
          </w:p>
        </w:tc>
      </w:tr>
      <w:tr>
        <w:tblPrEx>
          <w:tblCellMar>
            <w:top w:w="0" w:type="dxa"/>
            <w:left w:w="0" w:type="dxa"/>
            <w:bottom w:w="0" w:type="dxa"/>
            <w:right w:w="0" w:type="dxa"/>
          </w:tblCellMar>
        </w:tblPrEx>
        <w:trPr>
          <w:trHeight w:val="691" w:hRule="atLeast"/>
          <w:jc w:val="center"/>
        </w:trPr>
        <w:tc>
          <w:tcPr>
            <w:tcW w:w="124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仿宋_GB2312"/>
                <w:kern w:val="0"/>
                <w:sz w:val="28"/>
                <w:szCs w:val="28"/>
              </w:rPr>
            </w:pPr>
            <w:r>
              <w:rPr>
                <w:rFonts w:eastAsia="仿宋_GB2312"/>
                <w:kern w:val="0"/>
                <w:sz w:val="28"/>
                <w:szCs w:val="28"/>
              </w:rPr>
              <w:t>柯桥区</w:t>
            </w:r>
          </w:p>
        </w:tc>
        <w:tc>
          <w:tcPr>
            <w:tcW w:w="2100"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8.36</w:t>
            </w:r>
          </w:p>
        </w:tc>
        <w:tc>
          <w:tcPr>
            <w:tcW w:w="1975"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4260</w:t>
            </w:r>
          </w:p>
        </w:tc>
        <w:tc>
          <w:tcPr>
            <w:tcW w:w="197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225</w:t>
            </w:r>
          </w:p>
        </w:tc>
        <w:tc>
          <w:tcPr>
            <w:tcW w:w="1961"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2</w:t>
            </w:r>
          </w:p>
        </w:tc>
      </w:tr>
      <w:tr>
        <w:tblPrEx>
          <w:tblCellMar>
            <w:top w:w="0" w:type="dxa"/>
            <w:left w:w="0" w:type="dxa"/>
            <w:bottom w:w="0" w:type="dxa"/>
            <w:right w:w="0" w:type="dxa"/>
          </w:tblCellMar>
        </w:tblPrEx>
        <w:trPr>
          <w:trHeight w:val="691" w:hRule="atLeast"/>
          <w:jc w:val="center"/>
        </w:trPr>
        <w:tc>
          <w:tcPr>
            <w:tcW w:w="12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仿宋_GB2312"/>
                <w:kern w:val="0"/>
                <w:sz w:val="28"/>
                <w:szCs w:val="28"/>
              </w:rPr>
            </w:pPr>
            <w:r>
              <w:rPr>
                <w:rFonts w:eastAsia="仿宋_GB2312"/>
                <w:kern w:val="0"/>
                <w:sz w:val="28"/>
                <w:szCs w:val="28"/>
              </w:rPr>
              <w:t>上虞区</w:t>
            </w:r>
          </w:p>
        </w:tc>
        <w:tc>
          <w:tcPr>
            <w:tcW w:w="2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7.22</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2900</w:t>
            </w:r>
          </w:p>
        </w:tc>
        <w:tc>
          <w:tcPr>
            <w:tcW w:w="19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250</w:t>
            </w:r>
          </w:p>
        </w:tc>
        <w:tc>
          <w:tcPr>
            <w:tcW w:w="1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3</w:t>
            </w:r>
          </w:p>
        </w:tc>
      </w:tr>
      <w:tr>
        <w:tblPrEx>
          <w:tblCellMar>
            <w:top w:w="0" w:type="dxa"/>
            <w:left w:w="0" w:type="dxa"/>
            <w:bottom w:w="0" w:type="dxa"/>
            <w:right w:w="0" w:type="dxa"/>
          </w:tblCellMar>
        </w:tblPrEx>
        <w:trPr>
          <w:trHeight w:val="691" w:hRule="atLeast"/>
          <w:jc w:val="center"/>
        </w:trPr>
        <w:tc>
          <w:tcPr>
            <w:tcW w:w="12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仿宋_GB2312"/>
                <w:kern w:val="0"/>
                <w:sz w:val="28"/>
                <w:szCs w:val="28"/>
              </w:rPr>
            </w:pPr>
            <w:r>
              <w:rPr>
                <w:rFonts w:eastAsia="仿宋_GB2312"/>
                <w:kern w:val="0"/>
                <w:sz w:val="28"/>
                <w:szCs w:val="28"/>
              </w:rPr>
              <w:t>诸暨市</w:t>
            </w:r>
          </w:p>
        </w:tc>
        <w:tc>
          <w:tcPr>
            <w:tcW w:w="2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8.97</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4290</w:t>
            </w:r>
          </w:p>
        </w:tc>
        <w:tc>
          <w:tcPr>
            <w:tcW w:w="19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125</w:t>
            </w:r>
          </w:p>
        </w:tc>
        <w:tc>
          <w:tcPr>
            <w:tcW w:w="1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1</w:t>
            </w:r>
          </w:p>
        </w:tc>
      </w:tr>
      <w:tr>
        <w:tblPrEx>
          <w:tblCellMar>
            <w:top w:w="0" w:type="dxa"/>
            <w:left w:w="0" w:type="dxa"/>
            <w:bottom w:w="0" w:type="dxa"/>
            <w:right w:w="0" w:type="dxa"/>
          </w:tblCellMar>
        </w:tblPrEx>
        <w:trPr>
          <w:trHeight w:val="691" w:hRule="atLeast"/>
          <w:jc w:val="center"/>
        </w:trPr>
        <w:tc>
          <w:tcPr>
            <w:tcW w:w="12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仿宋_GB2312"/>
                <w:kern w:val="0"/>
                <w:sz w:val="28"/>
                <w:szCs w:val="28"/>
              </w:rPr>
            </w:pPr>
            <w:r>
              <w:rPr>
                <w:rFonts w:eastAsia="仿宋_GB2312"/>
                <w:kern w:val="0"/>
                <w:sz w:val="28"/>
                <w:szCs w:val="28"/>
              </w:rPr>
              <w:t>嵊州市</w:t>
            </w:r>
          </w:p>
        </w:tc>
        <w:tc>
          <w:tcPr>
            <w:tcW w:w="2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5.38</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2500</w:t>
            </w:r>
          </w:p>
        </w:tc>
        <w:tc>
          <w:tcPr>
            <w:tcW w:w="19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100</w:t>
            </w:r>
          </w:p>
        </w:tc>
        <w:tc>
          <w:tcPr>
            <w:tcW w:w="1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1</w:t>
            </w:r>
          </w:p>
        </w:tc>
      </w:tr>
      <w:tr>
        <w:tblPrEx>
          <w:tblCellMar>
            <w:top w:w="0" w:type="dxa"/>
            <w:left w:w="0" w:type="dxa"/>
            <w:bottom w:w="0" w:type="dxa"/>
            <w:right w:w="0" w:type="dxa"/>
          </w:tblCellMar>
        </w:tblPrEx>
        <w:trPr>
          <w:trHeight w:val="691" w:hRule="atLeast"/>
          <w:jc w:val="center"/>
        </w:trPr>
        <w:tc>
          <w:tcPr>
            <w:tcW w:w="12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仿宋_GB2312"/>
                <w:kern w:val="0"/>
                <w:sz w:val="28"/>
                <w:szCs w:val="28"/>
              </w:rPr>
            </w:pPr>
            <w:r>
              <w:rPr>
                <w:rFonts w:eastAsia="仿宋_GB2312"/>
                <w:kern w:val="0"/>
                <w:sz w:val="28"/>
                <w:szCs w:val="28"/>
              </w:rPr>
              <w:t>新昌县</w:t>
            </w:r>
          </w:p>
        </w:tc>
        <w:tc>
          <w:tcPr>
            <w:tcW w:w="2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2.95</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1410</w:t>
            </w:r>
          </w:p>
        </w:tc>
        <w:tc>
          <w:tcPr>
            <w:tcW w:w="19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50</w:t>
            </w:r>
          </w:p>
        </w:tc>
        <w:tc>
          <w:tcPr>
            <w:tcW w:w="1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1</w:t>
            </w:r>
          </w:p>
        </w:tc>
      </w:tr>
      <w:tr>
        <w:tblPrEx>
          <w:tblCellMar>
            <w:top w:w="0" w:type="dxa"/>
            <w:left w:w="0" w:type="dxa"/>
            <w:bottom w:w="0" w:type="dxa"/>
            <w:right w:w="0" w:type="dxa"/>
          </w:tblCellMar>
        </w:tblPrEx>
        <w:trPr>
          <w:trHeight w:val="691" w:hRule="atLeast"/>
          <w:jc w:val="center"/>
        </w:trPr>
        <w:tc>
          <w:tcPr>
            <w:tcW w:w="12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仿宋_GB2312"/>
                <w:kern w:val="0"/>
                <w:sz w:val="28"/>
                <w:szCs w:val="28"/>
              </w:rPr>
            </w:pPr>
            <w:r>
              <w:rPr>
                <w:rFonts w:hint="eastAsia" w:eastAsia="仿宋_GB2312"/>
                <w:kern w:val="0"/>
                <w:sz w:val="28"/>
                <w:szCs w:val="28"/>
              </w:rPr>
              <w:t>市本级</w:t>
            </w:r>
          </w:p>
        </w:tc>
        <w:tc>
          <w:tcPr>
            <w:tcW w:w="2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2.2</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w:t>
            </w:r>
          </w:p>
        </w:tc>
        <w:tc>
          <w:tcPr>
            <w:tcW w:w="19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w:t>
            </w:r>
          </w:p>
        </w:tc>
        <w:tc>
          <w:tcPr>
            <w:tcW w:w="1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
              <w:jc w:val="center"/>
              <w:rPr>
                <w:rFonts w:eastAsia="仿宋_GB2312"/>
                <w:color w:val="auto"/>
                <w:sz w:val="28"/>
                <w:szCs w:val="28"/>
              </w:rPr>
            </w:pPr>
            <w:r>
              <w:rPr>
                <w:rFonts w:hint="eastAsia" w:eastAsia="仿宋_GB2312"/>
                <w:color w:val="auto"/>
                <w:sz w:val="28"/>
                <w:szCs w:val="28"/>
              </w:rPr>
              <w:t>/</w:t>
            </w:r>
          </w:p>
        </w:tc>
      </w:tr>
    </w:tbl>
    <w:p>
      <w:pPr>
        <w:rPr>
          <w:rFonts w:eastAsia="方正小标宋简体"/>
          <w:sz w:val="44"/>
          <w:szCs w:val="44"/>
          <w:lang w:bidi="ar"/>
        </w:rPr>
        <w:sectPr>
          <w:pgSz w:w="11906" w:h="16838"/>
          <w:pgMar w:top="1928" w:right="1474" w:bottom="1474" w:left="1588" w:header="851" w:footer="851" w:gutter="0"/>
          <w:pgNumType w:fmt="decimal"/>
          <w:cols w:space="720" w:num="1"/>
          <w:docGrid w:type="linesAndChars" w:linePitch="319" w:charSpace="0"/>
        </w:sectPr>
      </w:pPr>
    </w:p>
    <w:p>
      <w:pP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5</w:t>
      </w:r>
    </w:p>
    <w:p>
      <w:pPr>
        <w:spacing w:line="600" w:lineRule="exact"/>
        <w:rPr>
          <w:rFonts w:ascii="黑体" w:hAnsi="黑体" w:eastAsia="黑体" w:cs="黑体"/>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2022年农资应急储备指标分解</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065"/>
        <w:gridCol w:w="1649"/>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1294" w:type="dxa"/>
            <w:vAlign w:val="center"/>
          </w:tcPr>
          <w:p>
            <w:pPr>
              <w:widowControl/>
              <w:spacing w:line="360" w:lineRule="exact"/>
              <w:jc w:val="center"/>
              <w:rPr>
                <w:rFonts w:eastAsia="仿宋_GB2312"/>
                <w:b/>
                <w:bCs/>
                <w:kern w:val="0"/>
                <w:sz w:val="28"/>
                <w:szCs w:val="28"/>
              </w:rPr>
            </w:pPr>
            <w:r>
              <w:rPr>
                <w:rFonts w:eastAsia="仿宋_GB2312"/>
                <w:b/>
                <w:bCs/>
                <w:kern w:val="0"/>
                <w:sz w:val="28"/>
                <w:szCs w:val="28"/>
              </w:rPr>
              <w:t>地  区</w:t>
            </w:r>
          </w:p>
        </w:tc>
        <w:tc>
          <w:tcPr>
            <w:tcW w:w="2065" w:type="dxa"/>
            <w:vAlign w:val="center"/>
          </w:tcPr>
          <w:p>
            <w:pPr>
              <w:widowControl/>
              <w:spacing w:line="360" w:lineRule="exact"/>
              <w:jc w:val="center"/>
              <w:rPr>
                <w:rFonts w:eastAsia="仿宋_GB2312"/>
                <w:b/>
                <w:bCs/>
                <w:kern w:val="0"/>
                <w:sz w:val="28"/>
                <w:szCs w:val="28"/>
              </w:rPr>
            </w:pPr>
            <w:r>
              <w:rPr>
                <w:rFonts w:eastAsia="仿宋_GB2312"/>
                <w:b/>
                <w:bCs/>
                <w:kern w:val="0"/>
                <w:sz w:val="28"/>
                <w:szCs w:val="28"/>
              </w:rPr>
              <w:t>粮食种子</w:t>
            </w:r>
          </w:p>
          <w:p>
            <w:pPr>
              <w:widowControl/>
              <w:spacing w:line="360" w:lineRule="exact"/>
              <w:jc w:val="center"/>
              <w:rPr>
                <w:rFonts w:eastAsia="仿宋_GB2312"/>
                <w:b/>
                <w:bCs/>
                <w:kern w:val="0"/>
                <w:sz w:val="28"/>
                <w:szCs w:val="28"/>
              </w:rPr>
            </w:pPr>
            <w:r>
              <w:rPr>
                <w:rFonts w:eastAsia="仿宋_GB2312"/>
                <w:b/>
                <w:bCs/>
                <w:kern w:val="0"/>
                <w:sz w:val="28"/>
                <w:szCs w:val="28"/>
              </w:rPr>
              <w:t>（万斤）</w:t>
            </w:r>
          </w:p>
        </w:tc>
        <w:tc>
          <w:tcPr>
            <w:tcW w:w="1649" w:type="dxa"/>
            <w:vAlign w:val="center"/>
          </w:tcPr>
          <w:p>
            <w:pPr>
              <w:widowControl/>
              <w:spacing w:line="360" w:lineRule="exact"/>
              <w:jc w:val="center"/>
              <w:rPr>
                <w:rFonts w:eastAsia="仿宋_GB2312"/>
                <w:b/>
                <w:kern w:val="0"/>
                <w:sz w:val="28"/>
                <w:szCs w:val="28"/>
              </w:rPr>
            </w:pPr>
            <w:r>
              <w:rPr>
                <w:rFonts w:eastAsia="仿宋_GB2312"/>
                <w:b/>
                <w:kern w:val="0"/>
                <w:sz w:val="28"/>
                <w:szCs w:val="28"/>
              </w:rPr>
              <w:t>油菜种子（斤）</w:t>
            </w:r>
          </w:p>
        </w:tc>
        <w:tc>
          <w:tcPr>
            <w:tcW w:w="1857" w:type="dxa"/>
            <w:vAlign w:val="center"/>
          </w:tcPr>
          <w:p>
            <w:pPr>
              <w:widowControl/>
              <w:adjustRightInd w:val="0"/>
              <w:snapToGrid w:val="0"/>
              <w:spacing w:line="360" w:lineRule="exact"/>
              <w:jc w:val="center"/>
              <w:rPr>
                <w:rFonts w:eastAsia="仿宋_GB2312"/>
                <w:b/>
                <w:kern w:val="0"/>
                <w:sz w:val="28"/>
                <w:szCs w:val="28"/>
              </w:rPr>
            </w:pPr>
            <w:r>
              <w:rPr>
                <w:rFonts w:eastAsia="仿宋_GB2312"/>
                <w:b/>
                <w:kern w:val="0"/>
                <w:sz w:val="28"/>
                <w:szCs w:val="28"/>
              </w:rPr>
              <w:t>农药</w:t>
            </w:r>
          </w:p>
          <w:p>
            <w:pPr>
              <w:widowControl/>
              <w:spacing w:line="360" w:lineRule="exact"/>
              <w:jc w:val="center"/>
              <w:rPr>
                <w:rFonts w:eastAsia="仿宋_GB2312"/>
                <w:b/>
                <w:bCs/>
                <w:kern w:val="0"/>
                <w:sz w:val="28"/>
                <w:szCs w:val="28"/>
              </w:rPr>
            </w:pPr>
            <w:r>
              <w:rPr>
                <w:rFonts w:eastAsia="仿宋_GB2312"/>
                <w:b/>
                <w:kern w:val="0"/>
                <w:sz w:val="28"/>
                <w:szCs w:val="28"/>
              </w:rPr>
              <w:t>（吨）</w:t>
            </w:r>
          </w:p>
        </w:tc>
        <w:tc>
          <w:tcPr>
            <w:tcW w:w="1857" w:type="dxa"/>
            <w:vAlign w:val="center"/>
          </w:tcPr>
          <w:p>
            <w:pPr>
              <w:widowControl/>
              <w:adjustRightInd w:val="0"/>
              <w:snapToGrid w:val="0"/>
              <w:spacing w:line="360" w:lineRule="exact"/>
              <w:jc w:val="center"/>
              <w:rPr>
                <w:rFonts w:eastAsia="仿宋_GB2312"/>
                <w:b/>
                <w:kern w:val="0"/>
                <w:sz w:val="28"/>
                <w:szCs w:val="28"/>
              </w:rPr>
            </w:pPr>
            <w:r>
              <w:rPr>
                <w:rFonts w:eastAsia="仿宋_GB2312"/>
                <w:b/>
                <w:kern w:val="0"/>
                <w:sz w:val="28"/>
                <w:szCs w:val="28"/>
              </w:rPr>
              <w:t>化肥</w:t>
            </w:r>
          </w:p>
          <w:p>
            <w:pPr>
              <w:widowControl/>
              <w:spacing w:line="360" w:lineRule="exact"/>
              <w:jc w:val="center"/>
              <w:rPr>
                <w:rFonts w:eastAsia="仿宋_GB2312"/>
                <w:b/>
                <w:bCs/>
                <w:kern w:val="0"/>
                <w:sz w:val="28"/>
                <w:szCs w:val="28"/>
              </w:rPr>
            </w:pPr>
            <w:r>
              <w:rPr>
                <w:rFonts w:eastAsia="仿宋_GB2312"/>
                <w:b/>
                <w:kern w:val="0"/>
                <w:sz w:val="28"/>
                <w:szCs w:val="2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4" w:type="dxa"/>
            <w:vAlign w:val="center"/>
          </w:tcPr>
          <w:p>
            <w:pPr>
              <w:widowControl/>
              <w:spacing w:line="360" w:lineRule="exact"/>
              <w:jc w:val="center"/>
              <w:rPr>
                <w:rFonts w:eastAsia="仿宋_GB2312"/>
                <w:b/>
                <w:kern w:val="0"/>
                <w:sz w:val="28"/>
                <w:szCs w:val="28"/>
              </w:rPr>
            </w:pPr>
            <w:r>
              <w:rPr>
                <w:rFonts w:eastAsia="仿宋_GB2312"/>
                <w:b/>
                <w:kern w:val="0"/>
                <w:sz w:val="28"/>
                <w:szCs w:val="28"/>
              </w:rPr>
              <w:t>全  市</w:t>
            </w:r>
          </w:p>
        </w:tc>
        <w:tc>
          <w:tcPr>
            <w:tcW w:w="2065" w:type="dxa"/>
            <w:vAlign w:val="center"/>
          </w:tcPr>
          <w:p>
            <w:pPr>
              <w:jc w:val="center"/>
              <w:rPr>
                <w:rFonts w:eastAsia="仿宋_GB2312"/>
                <w:b/>
                <w:sz w:val="28"/>
                <w:szCs w:val="28"/>
              </w:rPr>
            </w:pPr>
            <w:r>
              <w:rPr>
                <w:rFonts w:eastAsia="仿宋_GB2312"/>
                <w:b/>
                <w:sz w:val="28"/>
                <w:szCs w:val="28"/>
              </w:rPr>
              <w:t>186</w:t>
            </w:r>
          </w:p>
        </w:tc>
        <w:tc>
          <w:tcPr>
            <w:tcW w:w="1649" w:type="dxa"/>
            <w:vAlign w:val="center"/>
          </w:tcPr>
          <w:p>
            <w:pPr>
              <w:widowControl/>
              <w:jc w:val="center"/>
              <w:textAlignment w:val="center"/>
              <w:rPr>
                <w:rFonts w:eastAsia="仿宋_GB2312"/>
                <w:b/>
                <w:sz w:val="28"/>
                <w:szCs w:val="28"/>
              </w:rPr>
            </w:pPr>
            <w:r>
              <w:rPr>
                <w:rFonts w:eastAsia="仿宋_GB2312"/>
                <w:b/>
                <w:kern w:val="0"/>
                <w:sz w:val="28"/>
                <w:szCs w:val="28"/>
                <w:lang w:bidi="ar"/>
              </w:rPr>
              <w:t>8700</w:t>
            </w:r>
          </w:p>
        </w:tc>
        <w:tc>
          <w:tcPr>
            <w:tcW w:w="1857" w:type="dxa"/>
            <w:vAlign w:val="center"/>
          </w:tcPr>
          <w:p>
            <w:pPr>
              <w:jc w:val="center"/>
              <w:rPr>
                <w:rFonts w:eastAsia="仿宋_GB2312"/>
                <w:b/>
                <w:sz w:val="28"/>
                <w:szCs w:val="28"/>
              </w:rPr>
            </w:pPr>
            <w:r>
              <w:rPr>
                <w:rFonts w:eastAsia="仿宋_GB2312"/>
                <w:b/>
                <w:sz w:val="28"/>
                <w:szCs w:val="28"/>
              </w:rPr>
              <w:t>49</w:t>
            </w:r>
          </w:p>
        </w:tc>
        <w:tc>
          <w:tcPr>
            <w:tcW w:w="1857" w:type="dxa"/>
            <w:vAlign w:val="center"/>
          </w:tcPr>
          <w:p>
            <w:pPr>
              <w:jc w:val="center"/>
              <w:rPr>
                <w:rFonts w:eastAsia="仿宋_GB2312"/>
                <w:b/>
                <w:sz w:val="28"/>
                <w:szCs w:val="28"/>
              </w:rPr>
            </w:pPr>
            <w:r>
              <w:rPr>
                <w:rFonts w:eastAsia="仿宋_GB2312"/>
                <w:b/>
                <w:sz w:val="28"/>
                <w:szCs w:val="28"/>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4"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市本级</w:t>
            </w:r>
          </w:p>
        </w:tc>
        <w:tc>
          <w:tcPr>
            <w:tcW w:w="2065"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24</w:t>
            </w:r>
          </w:p>
        </w:tc>
        <w:tc>
          <w:tcPr>
            <w:tcW w:w="1649"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2500</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14</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4"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越城区</w:t>
            </w:r>
          </w:p>
        </w:tc>
        <w:tc>
          <w:tcPr>
            <w:tcW w:w="2065"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10</w:t>
            </w:r>
          </w:p>
        </w:tc>
        <w:tc>
          <w:tcPr>
            <w:tcW w:w="1649"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320</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1.9</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4"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柯桥区</w:t>
            </w:r>
          </w:p>
        </w:tc>
        <w:tc>
          <w:tcPr>
            <w:tcW w:w="2065"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16</w:t>
            </w:r>
          </w:p>
        </w:tc>
        <w:tc>
          <w:tcPr>
            <w:tcW w:w="1649"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730</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3.6</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4"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上虞区</w:t>
            </w:r>
          </w:p>
        </w:tc>
        <w:tc>
          <w:tcPr>
            <w:tcW w:w="2065"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47</w:t>
            </w:r>
          </w:p>
        </w:tc>
        <w:tc>
          <w:tcPr>
            <w:tcW w:w="1649"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2060</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7.0</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4"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诸暨市</w:t>
            </w:r>
          </w:p>
        </w:tc>
        <w:tc>
          <w:tcPr>
            <w:tcW w:w="2065"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42</w:t>
            </w:r>
          </w:p>
        </w:tc>
        <w:tc>
          <w:tcPr>
            <w:tcW w:w="1649"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940</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10.0</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2390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294"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嵊州市</w:t>
            </w:r>
          </w:p>
        </w:tc>
        <w:tc>
          <w:tcPr>
            <w:tcW w:w="2065"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30</w:t>
            </w:r>
          </w:p>
        </w:tc>
        <w:tc>
          <w:tcPr>
            <w:tcW w:w="1649"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660</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8.0</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4"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新昌县</w:t>
            </w:r>
          </w:p>
        </w:tc>
        <w:tc>
          <w:tcPr>
            <w:tcW w:w="2065"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17</w:t>
            </w:r>
          </w:p>
        </w:tc>
        <w:tc>
          <w:tcPr>
            <w:tcW w:w="1649" w:type="dxa"/>
            <w:vAlign w:val="center"/>
          </w:tcPr>
          <w:p>
            <w:pPr>
              <w:pStyle w:val="14"/>
              <w:jc w:val="center"/>
              <w:rPr>
                <w:rFonts w:ascii="仿宋_GB2312" w:eastAsia="仿宋_GB2312"/>
                <w:color w:val="auto"/>
                <w:sz w:val="28"/>
                <w:szCs w:val="28"/>
              </w:rPr>
            </w:pPr>
            <w:r>
              <w:rPr>
                <w:rFonts w:hint="eastAsia" w:ascii="仿宋_GB2312" w:eastAsia="仿宋_GB2312"/>
                <w:color w:val="auto"/>
                <w:sz w:val="28"/>
                <w:szCs w:val="28"/>
              </w:rPr>
              <w:t>1490</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4.5</w:t>
            </w:r>
          </w:p>
        </w:tc>
        <w:tc>
          <w:tcPr>
            <w:tcW w:w="185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1090</w:t>
            </w:r>
          </w:p>
        </w:tc>
      </w:tr>
    </w:tbl>
    <w:p>
      <w:pPr>
        <w:jc w:val="left"/>
        <w:rPr>
          <w:spacing w:val="24"/>
          <w:sz w:val="20"/>
          <w:szCs w:val="22"/>
        </w:rPr>
      </w:pPr>
      <w:r>
        <w:rPr>
          <w:rFonts w:eastAsia="仿宋_GB2312"/>
          <w:sz w:val="28"/>
          <w:szCs w:val="28"/>
        </w:rPr>
        <w:t>注：小麦、油菜、早稻、晚稻种子分别在7月底、7月底、9月底和次年1月底之前入库；</w:t>
      </w:r>
      <w:r>
        <w:rPr>
          <w:rFonts w:hint="eastAsia" w:ascii="仿宋_GB2312" w:eastAsia="仿宋_GB2312"/>
          <w:sz w:val="30"/>
          <w:szCs w:val="30"/>
        </w:rPr>
        <w:t>化肥储备1月底前入库，市级化肥储备时间为全年，县级储备时长由各地根据实际情况确定但不少于6个月且覆盖农业生产旺季；市级农药储备时间为全年，县级农药储备时间由各地根据实际情况确定但需涵盖4-10月</w:t>
      </w:r>
      <w:r>
        <w:rPr>
          <w:rFonts w:eastAsia="仿宋_GB2312"/>
          <w:sz w:val="28"/>
          <w:szCs w:val="28"/>
        </w:rPr>
        <w:t>。</w:t>
      </w:r>
    </w:p>
    <w:p>
      <w:pPr>
        <w:spacing w:line="640" w:lineRule="exact"/>
        <w:rPr>
          <w:spacing w:val="24"/>
          <w:sz w:val="20"/>
          <w:szCs w:val="22"/>
        </w:rPr>
      </w:pPr>
    </w:p>
    <w:p>
      <w:pPr>
        <w:spacing w:line="640" w:lineRule="exact"/>
        <w:rPr>
          <w:spacing w:val="24"/>
          <w:sz w:val="20"/>
          <w:szCs w:val="22"/>
        </w:rPr>
      </w:pPr>
    </w:p>
    <w:p/>
    <w:p/>
    <w:p>
      <w:pP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6</w:t>
      </w:r>
      <w:r>
        <w:rPr>
          <w:rFonts w:hint="eastAsia" w:ascii="黑体" w:hAnsi="黑体" w:eastAsia="黑体" w:cs="黑体"/>
          <w:sz w:val="32"/>
          <w:szCs w:val="32"/>
        </w:rPr>
        <w:tab/>
      </w:r>
    </w:p>
    <w:p>
      <w:pPr>
        <w:widowControl/>
        <w:spacing w:line="640" w:lineRule="exact"/>
        <w:jc w:val="center"/>
        <w:rPr>
          <w:rFonts w:eastAsia="方正小标宋简体"/>
          <w:sz w:val="44"/>
          <w:szCs w:val="44"/>
        </w:rPr>
      </w:pPr>
    </w:p>
    <w:p>
      <w:pPr>
        <w:widowControl/>
        <w:spacing w:line="640" w:lineRule="exact"/>
        <w:jc w:val="center"/>
        <w:rPr>
          <w:rFonts w:hint="eastAsia" w:eastAsia="方正小标宋简体"/>
          <w:sz w:val="44"/>
          <w:szCs w:val="44"/>
        </w:rPr>
      </w:pPr>
      <w:r>
        <w:rPr>
          <w:rFonts w:hint="eastAsia" w:eastAsia="方正小标宋简体"/>
          <w:sz w:val="44"/>
          <w:szCs w:val="44"/>
        </w:rPr>
        <w:t>2022年全市主粮作物政策性农业保险</w:t>
      </w:r>
    </w:p>
    <w:p>
      <w:pPr>
        <w:widowControl/>
        <w:spacing w:line="640" w:lineRule="exact"/>
        <w:jc w:val="center"/>
        <w:rPr>
          <w:rFonts w:eastAsia="方正小标宋简体"/>
          <w:sz w:val="44"/>
          <w:szCs w:val="44"/>
        </w:rPr>
      </w:pPr>
      <w:r>
        <w:rPr>
          <w:rFonts w:hint="eastAsia" w:eastAsia="方正小标宋简体"/>
          <w:sz w:val="44"/>
          <w:szCs w:val="44"/>
        </w:rPr>
        <w:t>参保目标</w:t>
      </w:r>
    </w:p>
    <w:p>
      <w:pPr>
        <w:widowControl/>
        <w:autoSpaceDE w:val="0"/>
        <w:autoSpaceDN w:val="0"/>
        <w:adjustRightInd w:val="0"/>
        <w:jc w:val="left"/>
        <w:rPr>
          <w:rFonts w:ascii="仿宋_GB2312" w:hAnsi="宋体" w:eastAsia="仿宋_GB2312"/>
          <w:kern w:val="0"/>
          <w:sz w:val="24"/>
        </w:rPr>
      </w:pPr>
      <w:r>
        <w:rPr>
          <w:rFonts w:hint="eastAsia" w:ascii="仿宋_GB2312" w:hAnsi="宋体" w:eastAsia="仿宋_GB2312"/>
          <w:kern w:val="0"/>
          <w:sz w:val="24"/>
        </w:rPr>
        <w:t xml:space="preserve"> </w:t>
      </w:r>
    </w:p>
    <w:tbl>
      <w:tblPr>
        <w:tblStyle w:val="8"/>
        <w:tblW w:w="5000" w:type="pct"/>
        <w:jc w:val="center"/>
        <w:tblLayout w:type="autofit"/>
        <w:tblCellMar>
          <w:top w:w="0" w:type="dxa"/>
          <w:left w:w="0" w:type="dxa"/>
          <w:bottom w:w="0" w:type="dxa"/>
          <w:right w:w="0" w:type="dxa"/>
        </w:tblCellMar>
      </w:tblPr>
      <w:tblGrid>
        <w:gridCol w:w="1999"/>
        <w:gridCol w:w="3179"/>
        <w:gridCol w:w="3158"/>
      </w:tblGrid>
      <w:tr>
        <w:tblPrEx>
          <w:tblCellMar>
            <w:top w:w="0" w:type="dxa"/>
            <w:left w:w="0" w:type="dxa"/>
            <w:bottom w:w="0" w:type="dxa"/>
            <w:right w:w="0" w:type="dxa"/>
          </w:tblCellMar>
        </w:tblPrEx>
        <w:trPr>
          <w:trHeight w:val="1199" w:hRule="atLeast"/>
          <w:jc w:val="center"/>
        </w:trPr>
        <w:tc>
          <w:tcPr>
            <w:tcW w:w="1199" w:type="pc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widowControl/>
              <w:spacing w:line="360" w:lineRule="exact"/>
              <w:jc w:val="center"/>
              <w:rPr>
                <w:rFonts w:eastAsia="仿宋_GB2312"/>
                <w:b/>
                <w:bCs/>
                <w:kern w:val="0"/>
                <w:sz w:val="28"/>
                <w:szCs w:val="28"/>
              </w:rPr>
            </w:pPr>
            <w:r>
              <w:rPr>
                <w:rFonts w:hint="eastAsia" w:eastAsia="仿宋_GB2312"/>
                <w:b/>
                <w:bCs/>
                <w:kern w:val="0"/>
                <w:sz w:val="28"/>
                <w:szCs w:val="28"/>
              </w:rPr>
              <w:t>地  区</w:t>
            </w:r>
          </w:p>
        </w:tc>
        <w:tc>
          <w:tcPr>
            <w:tcW w:w="1907"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rPr>
                <w:rFonts w:eastAsia="仿宋_GB2312"/>
                <w:b/>
                <w:bCs/>
                <w:kern w:val="0"/>
                <w:sz w:val="28"/>
                <w:szCs w:val="28"/>
              </w:rPr>
            </w:pPr>
            <w:r>
              <w:rPr>
                <w:rFonts w:hint="eastAsia" w:eastAsia="仿宋_GB2312"/>
                <w:b/>
                <w:bCs/>
                <w:kern w:val="0"/>
                <w:sz w:val="28"/>
                <w:szCs w:val="28"/>
              </w:rPr>
              <w:t>水稻保险覆盖率</w:t>
            </w:r>
          </w:p>
        </w:tc>
        <w:tc>
          <w:tcPr>
            <w:tcW w:w="1894" w:type="pct"/>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spacing w:line="360" w:lineRule="exact"/>
              <w:jc w:val="center"/>
              <w:rPr>
                <w:rFonts w:eastAsia="仿宋_GB2312"/>
                <w:b/>
                <w:bCs/>
                <w:kern w:val="0"/>
                <w:sz w:val="28"/>
                <w:szCs w:val="28"/>
              </w:rPr>
            </w:pPr>
            <w:r>
              <w:rPr>
                <w:rFonts w:hint="eastAsia" w:eastAsia="仿宋_GB2312"/>
                <w:b/>
                <w:bCs/>
                <w:kern w:val="0"/>
                <w:sz w:val="28"/>
                <w:szCs w:val="28"/>
              </w:rPr>
              <w:t>小麦保险覆盖率</w:t>
            </w:r>
          </w:p>
        </w:tc>
      </w:tr>
      <w:tr>
        <w:tblPrEx>
          <w:tblCellMar>
            <w:top w:w="0" w:type="dxa"/>
            <w:left w:w="0" w:type="dxa"/>
            <w:bottom w:w="0" w:type="dxa"/>
            <w:right w:w="0" w:type="dxa"/>
          </w:tblCellMar>
        </w:tblPrEx>
        <w:trPr>
          <w:trHeight w:val="691" w:hRule="atLeast"/>
          <w:jc w:val="center"/>
        </w:trPr>
        <w:tc>
          <w:tcPr>
            <w:tcW w:w="1199" w:type="pct"/>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eastAsia="仿宋_GB2312"/>
                <w:kern w:val="0"/>
                <w:sz w:val="28"/>
                <w:szCs w:val="28"/>
              </w:rPr>
            </w:pPr>
            <w:r>
              <w:rPr>
                <w:rFonts w:eastAsia="仿宋_GB2312"/>
                <w:b/>
                <w:bCs/>
                <w:kern w:val="0"/>
                <w:sz w:val="28"/>
                <w:szCs w:val="28"/>
              </w:rPr>
              <w:t>全  市</w:t>
            </w:r>
          </w:p>
        </w:tc>
        <w:tc>
          <w:tcPr>
            <w:tcW w:w="1907" w:type="pct"/>
            <w:tcBorders>
              <w:top w:val="single" w:color="auto" w:sz="4" w:space="0"/>
              <w:left w:val="nil"/>
              <w:bottom w:val="single" w:color="000000" w:sz="4" w:space="0"/>
              <w:right w:val="single" w:color="000000" w:sz="4" w:space="0"/>
            </w:tcBorders>
            <w:tcMar>
              <w:top w:w="15" w:type="dxa"/>
              <w:left w:w="15" w:type="dxa"/>
              <w:bottom w:w="0" w:type="dxa"/>
              <w:right w:w="15" w:type="dxa"/>
            </w:tcMar>
          </w:tcPr>
          <w:p>
            <w:pPr>
              <w:widowControl/>
              <w:jc w:val="center"/>
              <w:textAlignment w:val="center"/>
              <w:rPr>
                <w:rFonts w:eastAsia="仿宋_GB2312"/>
                <w:b/>
                <w:kern w:val="0"/>
                <w:sz w:val="28"/>
                <w:szCs w:val="28"/>
                <w:lang w:bidi="ar"/>
              </w:rPr>
            </w:pPr>
            <w:r>
              <w:rPr>
                <w:rFonts w:hint="eastAsia" w:eastAsia="仿宋_GB2312"/>
                <w:b/>
                <w:kern w:val="0"/>
                <w:sz w:val="28"/>
                <w:szCs w:val="28"/>
                <w:lang w:bidi="ar"/>
              </w:rPr>
              <w:t>70%以上</w:t>
            </w:r>
          </w:p>
        </w:tc>
        <w:tc>
          <w:tcPr>
            <w:tcW w:w="1894" w:type="pct"/>
            <w:tcBorders>
              <w:top w:val="single" w:color="000000" w:sz="4" w:space="0"/>
              <w:left w:val="nil"/>
              <w:bottom w:val="single" w:color="000000" w:sz="4" w:space="0"/>
              <w:right w:val="single" w:color="auto" w:sz="4" w:space="0"/>
            </w:tcBorders>
            <w:tcMar>
              <w:top w:w="15" w:type="dxa"/>
              <w:left w:w="15" w:type="dxa"/>
              <w:bottom w:w="0" w:type="dxa"/>
              <w:right w:w="15" w:type="dxa"/>
            </w:tcMar>
          </w:tcPr>
          <w:p>
            <w:pPr>
              <w:widowControl/>
              <w:jc w:val="center"/>
              <w:textAlignment w:val="center"/>
              <w:rPr>
                <w:rFonts w:eastAsia="仿宋_GB2312"/>
                <w:b/>
                <w:kern w:val="0"/>
                <w:sz w:val="28"/>
                <w:szCs w:val="28"/>
                <w:lang w:bidi="ar"/>
              </w:rPr>
            </w:pPr>
            <w:r>
              <w:rPr>
                <w:rFonts w:hint="eastAsia" w:eastAsia="仿宋_GB2312"/>
                <w:b/>
                <w:kern w:val="0"/>
                <w:sz w:val="28"/>
                <w:szCs w:val="28"/>
                <w:lang w:bidi="ar"/>
              </w:rPr>
              <w:t>70%以上</w:t>
            </w:r>
          </w:p>
        </w:tc>
      </w:tr>
      <w:tr>
        <w:tblPrEx>
          <w:tblCellMar>
            <w:top w:w="0" w:type="dxa"/>
            <w:left w:w="0" w:type="dxa"/>
            <w:bottom w:w="0" w:type="dxa"/>
            <w:right w:w="0" w:type="dxa"/>
          </w:tblCellMar>
        </w:tblPrEx>
        <w:trPr>
          <w:trHeight w:val="691" w:hRule="atLeast"/>
          <w:jc w:val="center"/>
        </w:trPr>
        <w:tc>
          <w:tcPr>
            <w:tcW w:w="1199" w:type="pct"/>
            <w:tcBorders>
              <w:top w:val="single" w:color="000000"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kern w:val="0"/>
                <w:sz w:val="28"/>
                <w:szCs w:val="28"/>
              </w:rPr>
            </w:pPr>
            <w:r>
              <w:rPr>
                <w:rFonts w:hint="eastAsia" w:ascii="仿宋_GB2312" w:eastAsia="仿宋_GB2312"/>
                <w:kern w:val="0"/>
                <w:sz w:val="28"/>
                <w:szCs w:val="28"/>
              </w:rPr>
              <w:t>越城区</w:t>
            </w:r>
          </w:p>
        </w:tc>
        <w:tc>
          <w:tcPr>
            <w:tcW w:w="1907" w:type="pct"/>
            <w:tcBorders>
              <w:top w:val="single" w:color="000000" w:sz="4" w:space="0"/>
              <w:left w:val="nil"/>
              <w:bottom w:val="single" w:color="auto"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c>
          <w:tcPr>
            <w:tcW w:w="1894" w:type="pct"/>
            <w:tcBorders>
              <w:top w:val="single" w:color="000000" w:sz="4" w:space="0"/>
              <w:left w:val="nil"/>
              <w:bottom w:val="single" w:color="auto" w:sz="4" w:space="0"/>
              <w:right w:val="single" w:color="auto"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r>
      <w:tr>
        <w:tblPrEx>
          <w:tblCellMar>
            <w:top w:w="0" w:type="dxa"/>
            <w:left w:w="0" w:type="dxa"/>
            <w:bottom w:w="0" w:type="dxa"/>
            <w:right w:w="0" w:type="dxa"/>
          </w:tblCellMar>
        </w:tblPrEx>
        <w:trPr>
          <w:trHeight w:val="691" w:hRule="atLeast"/>
          <w:jc w:val="center"/>
        </w:trPr>
        <w:tc>
          <w:tcPr>
            <w:tcW w:w="1199" w:type="pct"/>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kern w:val="0"/>
                <w:sz w:val="28"/>
                <w:szCs w:val="28"/>
              </w:rPr>
            </w:pPr>
            <w:r>
              <w:rPr>
                <w:rFonts w:hint="eastAsia" w:ascii="仿宋_GB2312" w:eastAsia="仿宋_GB2312"/>
                <w:kern w:val="0"/>
                <w:sz w:val="28"/>
                <w:szCs w:val="28"/>
              </w:rPr>
              <w:t>柯桥区</w:t>
            </w:r>
          </w:p>
        </w:tc>
        <w:tc>
          <w:tcPr>
            <w:tcW w:w="1907" w:type="pct"/>
            <w:tcBorders>
              <w:top w:val="single" w:color="auto" w:sz="4" w:space="0"/>
              <w:left w:val="nil"/>
              <w:bottom w:val="single" w:color="000000"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c>
          <w:tcPr>
            <w:tcW w:w="1894" w:type="pct"/>
            <w:tcBorders>
              <w:top w:val="single" w:color="auto" w:sz="4" w:space="0"/>
              <w:left w:val="nil"/>
              <w:bottom w:val="single" w:color="000000"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r>
      <w:tr>
        <w:tblPrEx>
          <w:tblCellMar>
            <w:top w:w="0" w:type="dxa"/>
            <w:left w:w="0" w:type="dxa"/>
            <w:bottom w:w="0" w:type="dxa"/>
            <w:right w:w="0" w:type="dxa"/>
          </w:tblCellMar>
        </w:tblPrEx>
        <w:trPr>
          <w:trHeight w:val="691" w:hRule="atLeast"/>
          <w:jc w:val="center"/>
        </w:trPr>
        <w:tc>
          <w:tcPr>
            <w:tcW w:w="119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kern w:val="0"/>
                <w:sz w:val="28"/>
                <w:szCs w:val="28"/>
              </w:rPr>
            </w:pPr>
            <w:r>
              <w:rPr>
                <w:rFonts w:hint="eastAsia" w:ascii="仿宋_GB2312" w:eastAsia="仿宋_GB2312"/>
                <w:kern w:val="0"/>
                <w:sz w:val="28"/>
                <w:szCs w:val="28"/>
              </w:rPr>
              <w:t>上虞区</w:t>
            </w:r>
          </w:p>
        </w:tc>
        <w:tc>
          <w:tcPr>
            <w:tcW w:w="1907" w:type="pct"/>
            <w:tcBorders>
              <w:top w:val="single" w:color="000000" w:sz="4" w:space="0"/>
              <w:left w:val="nil"/>
              <w:bottom w:val="single" w:color="000000"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c>
          <w:tcPr>
            <w:tcW w:w="1894" w:type="pct"/>
            <w:tcBorders>
              <w:top w:val="single" w:color="000000" w:sz="4" w:space="0"/>
              <w:left w:val="nil"/>
              <w:bottom w:val="single" w:color="000000"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r>
      <w:tr>
        <w:tblPrEx>
          <w:tblCellMar>
            <w:top w:w="0" w:type="dxa"/>
            <w:left w:w="0" w:type="dxa"/>
            <w:bottom w:w="0" w:type="dxa"/>
            <w:right w:w="0" w:type="dxa"/>
          </w:tblCellMar>
        </w:tblPrEx>
        <w:trPr>
          <w:trHeight w:val="691" w:hRule="atLeast"/>
          <w:jc w:val="center"/>
        </w:trPr>
        <w:tc>
          <w:tcPr>
            <w:tcW w:w="119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kern w:val="0"/>
                <w:sz w:val="28"/>
                <w:szCs w:val="28"/>
              </w:rPr>
            </w:pPr>
            <w:r>
              <w:rPr>
                <w:rFonts w:hint="eastAsia" w:ascii="仿宋_GB2312" w:eastAsia="仿宋_GB2312"/>
                <w:kern w:val="0"/>
                <w:sz w:val="28"/>
                <w:szCs w:val="28"/>
              </w:rPr>
              <w:t>诸暨市</w:t>
            </w:r>
          </w:p>
        </w:tc>
        <w:tc>
          <w:tcPr>
            <w:tcW w:w="1907" w:type="pct"/>
            <w:tcBorders>
              <w:top w:val="single" w:color="000000" w:sz="4" w:space="0"/>
              <w:left w:val="nil"/>
              <w:bottom w:val="single" w:color="000000"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c>
          <w:tcPr>
            <w:tcW w:w="1894" w:type="pct"/>
            <w:tcBorders>
              <w:top w:val="single" w:color="000000" w:sz="4" w:space="0"/>
              <w:left w:val="nil"/>
              <w:bottom w:val="single" w:color="000000"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r>
      <w:tr>
        <w:tblPrEx>
          <w:tblCellMar>
            <w:top w:w="0" w:type="dxa"/>
            <w:left w:w="0" w:type="dxa"/>
            <w:bottom w:w="0" w:type="dxa"/>
            <w:right w:w="0" w:type="dxa"/>
          </w:tblCellMar>
        </w:tblPrEx>
        <w:trPr>
          <w:trHeight w:val="691" w:hRule="atLeast"/>
          <w:jc w:val="center"/>
        </w:trPr>
        <w:tc>
          <w:tcPr>
            <w:tcW w:w="119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kern w:val="0"/>
                <w:sz w:val="28"/>
                <w:szCs w:val="28"/>
              </w:rPr>
            </w:pPr>
            <w:r>
              <w:rPr>
                <w:rFonts w:hint="eastAsia" w:ascii="仿宋_GB2312" w:eastAsia="仿宋_GB2312"/>
                <w:kern w:val="0"/>
                <w:sz w:val="28"/>
                <w:szCs w:val="28"/>
              </w:rPr>
              <w:t>嵊州市</w:t>
            </w:r>
          </w:p>
        </w:tc>
        <w:tc>
          <w:tcPr>
            <w:tcW w:w="1907" w:type="pct"/>
            <w:tcBorders>
              <w:top w:val="single" w:color="000000" w:sz="4" w:space="0"/>
              <w:left w:val="nil"/>
              <w:bottom w:val="single" w:color="000000"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c>
          <w:tcPr>
            <w:tcW w:w="1894" w:type="pct"/>
            <w:tcBorders>
              <w:top w:val="single" w:color="000000" w:sz="4" w:space="0"/>
              <w:left w:val="nil"/>
              <w:bottom w:val="single" w:color="000000"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r>
      <w:tr>
        <w:tblPrEx>
          <w:tblCellMar>
            <w:top w:w="0" w:type="dxa"/>
            <w:left w:w="0" w:type="dxa"/>
            <w:bottom w:w="0" w:type="dxa"/>
            <w:right w:w="0" w:type="dxa"/>
          </w:tblCellMar>
        </w:tblPrEx>
        <w:trPr>
          <w:trHeight w:val="691" w:hRule="atLeast"/>
          <w:jc w:val="center"/>
        </w:trPr>
        <w:tc>
          <w:tcPr>
            <w:tcW w:w="119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kern w:val="0"/>
                <w:sz w:val="28"/>
                <w:szCs w:val="28"/>
              </w:rPr>
            </w:pPr>
            <w:r>
              <w:rPr>
                <w:rFonts w:hint="eastAsia" w:ascii="仿宋_GB2312" w:eastAsia="仿宋_GB2312"/>
                <w:kern w:val="0"/>
                <w:sz w:val="28"/>
                <w:szCs w:val="28"/>
              </w:rPr>
              <w:t>新昌县</w:t>
            </w:r>
          </w:p>
        </w:tc>
        <w:tc>
          <w:tcPr>
            <w:tcW w:w="1907" w:type="pct"/>
            <w:tcBorders>
              <w:top w:val="single" w:color="000000" w:sz="4" w:space="0"/>
              <w:left w:val="nil"/>
              <w:bottom w:val="single" w:color="000000"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c>
          <w:tcPr>
            <w:tcW w:w="1894" w:type="pct"/>
            <w:tcBorders>
              <w:top w:val="single" w:color="000000" w:sz="4" w:space="0"/>
              <w:left w:val="nil"/>
              <w:bottom w:val="single" w:color="000000" w:sz="4" w:space="0"/>
              <w:right w:val="single" w:color="000000" w:sz="4" w:space="0"/>
            </w:tcBorders>
            <w:tcMar>
              <w:top w:w="15" w:type="dxa"/>
              <w:left w:w="15" w:type="dxa"/>
              <w:bottom w:w="0" w:type="dxa"/>
              <w:right w:w="15" w:type="dxa"/>
            </w:tcMar>
          </w:tcPr>
          <w:p>
            <w:pPr>
              <w:pStyle w:val="14"/>
              <w:jc w:val="center"/>
              <w:rPr>
                <w:rFonts w:ascii="仿宋_GB2312" w:eastAsia="仿宋_GB2312"/>
                <w:color w:val="auto"/>
                <w:sz w:val="28"/>
                <w:szCs w:val="28"/>
              </w:rPr>
            </w:pPr>
            <w:r>
              <w:rPr>
                <w:rFonts w:hint="eastAsia" w:ascii="仿宋_GB2312" w:eastAsia="仿宋_GB2312"/>
                <w:color w:val="auto"/>
                <w:sz w:val="28"/>
                <w:szCs w:val="28"/>
                <w:lang w:bidi="ar"/>
              </w:rPr>
              <w:t>70%以上</w:t>
            </w:r>
          </w:p>
        </w:tc>
      </w:tr>
    </w:tbl>
    <w:p>
      <w:pPr>
        <w:spacing w:line="600" w:lineRule="exact"/>
        <w:rPr>
          <w:rFonts w:hint="default" w:ascii="仿宋_GB2312" w:eastAsia="仿宋_GB2312"/>
          <w:sz w:val="24"/>
          <w:lang w:val="en-US" w:eastAsia="zh-CN"/>
        </w:rPr>
      </w:pPr>
    </w:p>
    <w:p>
      <w:pPr>
        <w:bidi w:val="0"/>
        <w:rPr>
          <w:rFonts w:hint="default" w:ascii="Times New Roman" w:hAnsi="Times New Roman"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rPr>
          <w:rFonts w:hint="default" w:ascii="Times New Roman" w:hAnsi="Times New Roman"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bookmarkStart w:id="0" w:name="_GoBack"/>
      <w:bookmarkEnd w:id="0"/>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3381"/>
        </w:tabs>
        <w:bidi w:val="0"/>
        <w:jc w:val="left"/>
        <w:rPr>
          <w:rFonts w:hint="default"/>
          <w:lang w:val="en-US" w:eastAsia="zh-CN"/>
        </w:rPr>
      </w:pPr>
      <w:r>
        <w:rPr>
          <w:rFonts w:hint="eastAsia"/>
          <w:lang w:val="en-US" w:eastAsia="zh-CN"/>
        </w:rPr>
        <w:tab/>
      </w:r>
    </w:p>
    <w:tbl>
      <w:tblPr>
        <w:tblStyle w:val="8"/>
        <w:tblpPr w:leftFromText="180" w:rightFromText="180" w:vertAnchor="text" w:horzAnchor="page" w:tblpX="1345" w:tblpY="991"/>
        <w:tblOverlap w:val="never"/>
        <w:tblW w:w="9360" w:type="dxa"/>
        <w:tblInd w:w="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636" w:hRule="atLeast"/>
        </w:trPr>
        <w:tc>
          <w:tcPr>
            <w:tcW w:w="9360" w:type="dxa"/>
            <w:noWrap w:val="0"/>
            <w:vAlign w:val="center"/>
          </w:tcPr>
          <w:p>
            <w:pPr>
              <w:tabs>
                <w:tab w:val="left" w:pos="284"/>
                <w:tab w:val="left" w:pos="8789"/>
              </w:tabs>
              <w:spacing w:line="440" w:lineRule="exact"/>
              <w:ind w:firstLine="280" w:firstLineChars="100"/>
              <w:rPr>
                <w:rFonts w:eastAsia="仿宋_GB2312"/>
                <w:b w:val="0"/>
                <w:bCs/>
                <w:sz w:val="28"/>
                <w:szCs w:val="28"/>
              </w:rPr>
            </w:pPr>
            <w:r>
              <w:rPr>
                <w:rFonts w:eastAsia="仿宋_GB2312"/>
                <w:b w:val="0"/>
                <w:bCs/>
                <w:sz w:val="28"/>
                <w:szCs w:val="28"/>
              </w:rPr>
              <w:t xml:space="preserve">绍兴市农业农村局办公室                  </w:t>
            </w:r>
            <w:r>
              <w:rPr>
                <w:rFonts w:hint="eastAsia" w:eastAsia="仿宋_GB2312"/>
                <w:b w:val="0"/>
                <w:bCs/>
                <w:sz w:val="28"/>
                <w:szCs w:val="28"/>
                <w:lang w:val="en-US" w:eastAsia="zh-CN"/>
              </w:rPr>
              <w:t xml:space="preserve">  </w:t>
            </w:r>
            <w:r>
              <w:rPr>
                <w:rFonts w:eastAsia="仿宋_GB2312"/>
                <w:b w:val="0"/>
                <w:bCs/>
                <w:sz w:val="28"/>
                <w:szCs w:val="28"/>
              </w:rPr>
              <w:t>202</w:t>
            </w:r>
            <w:r>
              <w:rPr>
                <w:rFonts w:hint="eastAsia" w:eastAsia="仿宋_GB2312"/>
                <w:b w:val="0"/>
                <w:bCs/>
                <w:sz w:val="28"/>
                <w:szCs w:val="28"/>
                <w:lang w:val="en-US" w:eastAsia="zh-CN"/>
              </w:rPr>
              <w:t>2</w:t>
            </w:r>
            <w:r>
              <w:rPr>
                <w:rFonts w:eastAsia="仿宋_GB2312"/>
                <w:b w:val="0"/>
                <w:bCs/>
                <w:sz w:val="28"/>
                <w:szCs w:val="28"/>
              </w:rPr>
              <w:t>年</w:t>
            </w:r>
            <w:r>
              <w:rPr>
                <w:rFonts w:hint="eastAsia"/>
                <w:b w:val="0"/>
                <w:bCs/>
                <w:sz w:val="28"/>
                <w:szCs w:val="28"/>
                <w:lang w:val="en-US" w:eastAsia="zh-CN"/>
              </w:rPr>
              <w:t>3</w:t>
            </w:r>
            <w:r>
              <w:rPr>
                <w:rFonts w:eastAsia="仿宋_GB2312"/>
                <w:b w:val="0"/>
                <w:bCs/>
                <w:sz w:val="28"/>
                <w:szCs w:val="28"/>
              </w:rPr>
              <w:t>月</w:t>
            </w:r>
            <w:r>
              <w:rPr>
                <w:rFonts w:hint="eastAsia" w:eastAsia="仿宋_GB2312"/>
                <w:b w:val="0"/>
                <w:bCs/>
                <w:sz w:val="28"/>
                <w:szCs w:val="28"/>
                <w:lang w:val="en-US" w:eastAsia="zh-CN"/>
              </w:rPr>
              <w:t>15</w:t>
            </w:r>
            <w:r>
              <w:rPr>
                <w:rFonts w:eastAsia="仿宋_GB2312"/>
                <w:b w:val="0"/>
                <w:bCs/>
                <w:sz w:val="28"/>
                <w:szCs w:val="28"/>
              </w:rPr>
              <w:t>日印发</w:t>
            </w:r>
          </w:p>
        </w:tc>
      </w:tr>
    </w:tbl>
    <w:p>
      <w:pPr>
        <w:tabs>
          <w:tab w:val="left" w:pos="3381"/>
        </w:tabs>
        <w:bidi w:val="0"/>
        <w:jc w:val="left"/>
        <w:rPr>
          <w:rFonts w:hint="default"/>
          <w:lang w:val="en-US" w:eastAsia="zh-CN"/>
        </w:rPr>
      </w:pPr>
    </w:p>
    <w:sectPr>
      <w:headerReference r:id="rId11" w:type="default"/>
      <w:footerReference r:id="rId13" w:type="default"/>
      <w:headerReference r:id="rId12" w:type="even"/>
      <w:footerReference r:id="rId1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-22225</wp:posOffset>
              </wp:positionH>
              <wp:positionV relativeFrom="paragraph">
                <wp:posOffset>47625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75pt;margin-top:3.75pt;height:144pt;width:144pt;mso-position-horizontal-relative:margin;mso-wrap-style:none;z-index:251660288;mso-width-relative:page;mso-height-relative:page;" filled="f" stroked="f" coordsize="21600,21600" o:gfxdata="UEsFBgAAAAAAAAAAAAAAAAAAAAAAAFBLAwQKAAAAAACHTuJAAAAAAAAAAAAAAAAABAAAAGRycy9Q&#10;SwMEFAAAAAgAh07iQOYpLlLWAAAACAEAAA8AAABkcnMvZG93bnJldi54bWxNj81OwzAQhO9IvIO1&#10;SNxapz+BNsSpREU4IrXhwNGNt0kgXke2m4a3ZznBaWc1o9lv891kezGiD50jBYt5AgKpdqajRsF7&#10;Vc42IELUZHTvCBV8Y4BdcXuT68y4Kx1wPMZGcAmFTCtoYxwyKUPdotVh7gYk9s7OWx159Y00Xl+5&#10;3PZymSQP0uqO+EKrB9y3WH8dL1bBvqwqP2Lw/Qe+lqvPt+c1vkxK3d8tkicQEaf4F4ZffEaHgplO&#10;7kImiF7BbJVyUsEjD7aXmzWLE4ttmoIscvn/geIHUEsDBBQAAAAIAIdO4kBTBEOMHAIAACkEAAAO&#10;AAAAZHJzL2Uyb0RvYy54bWytU82O0zAQviPxDpbvNGkRu1XVdFV2VYRUsSsVxNl1nCaS/2S7TcoD&#10;wBtw4sKd5+pz8NlNWgScEBd7xjOen2++md91SpKDcL4xuqDjUU6J0NyUjd4V9MP71YspJT4wXTJp&#10;tCjoUXh6t3j+bN7amZiY2shSOIIg2s9aW9A6BDvLMs9roZgfGSs0jJVxigWobpeVjrWIrmQ2yfOb&#10;rDWutM5w4T1eH85Gukjxq0rw8FhVXgQiC4raQjpdOrfxzBZzNts5ZuuG92Wwf6hCsUYj6SXUAwuM&#10;7F3zRyjVcGe8qcKIG5WZqmq4SD2gm3H+WzebmlmRegE43l5g8v8vLH93eHKkKQt6S4lmCiM6ff1y&#10;+vbj9P0zuY3wtNbP4LWx8Avda9MVNLi9GEwe77HxrnIq3miJwAVYHy/4ii4QjsfxdDKd5jBx2AYF&#10;KbLrd+t8eCOMIlEoqMMAE67ssPbh7Dq4xGzarBop0xClJm1Bb16+ytOHiwXBpUaO2Me52CiFbtv1&#10;zW1NeURvzpzJ4S1fNUi+Zj48MQc2oGAwPDziqKRBEtNLlNTGffrbe/THkGClpAW7CqpBf0rkW43h&#10;RSIOghuE7SDovbo3oOsYm2N5EvHBBTmIlTPqI2i/jDkqJj0CM82RDaMZxPsArTdifbhYLi/63rpm&#10;V18/g4qWhbXeWN4PN2Lr7XIfgG+CPWJ2BqqHEnxMg+t3JxL+Vz15XTd8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mKS5S1gAAAAgBAAAPAAAAAAAAAAEAIAAAADgAAABkcnMvZG93bnJldi54bWxQ&#10;SwECFAAUAAAACACHTuJAUwRDjBwCAAApBAAADgAAAAAAAAABACAAAAA7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posOffset>2540</wp:posOffset>
              </wp:positionH>
              <wp:positionV relativeFrom="paragraph">
                <wp:posOffset>-95250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0.2pt;margin-top:-7.5pt;height:144pt;width:144pt;mso-position-horizontal-relative:margin;mso-wrap-style:none;z-index:251662336;mso-width-relative:page;mso-height-relative:page;" filled="f" stroked="f" coordsize="21600,21600" o:gfxdata="UEsFBgAAAAAAAAAAAAAAAAAAAAAAAFBLAwQKAAAAAACHTuJAAAAAAAAAAAAAAAAABAAAAGRycy9Q&#10;SwMEFAAAAAgAh07iQNGJDwvWAAAACAEAAA8AAABkcnMvZG93bnJldi54bWxNj81OwzAQhO9IvIO1&#10;SNxaO22BKI1TiYpwRKLhwNGNt0nAP5HtpuHtWU70trszmv2m3M3WsAlDHLyTkC0FMHSt14PrJHw0&#10;9SIHFpNyWhnvUMIPRthVtzelKrS/uHecDqljFOJioST0KY0F57Ht0aq49CM60k4+WJVoDR3XQV0o&#10;3Bq+EuKRWzU4+tCrEfc9tt+Hs5Wwr5smTBiD+cTXev319rzBl1nK+7tMbIElnNO/Gf7wCR0qYjr6&#10;s9ORGQkb8klYZA/UiORVntPlSMPTWgCvSn5doPoFUEsDBBQAAAAIAIdO4kAry2DMHAIAACkEAAAO&#10;AAAAZHJzL2Uyb0RvYy54bWytU82O0zAQviPxDpbvNGkRq27VdFV2VYRUsSsVxNl1nCaS/2S7TcoD&#10;wBtw4sKd5+pz8NlNWgScEBd7xjOen2++md91SpKDcL4xuqDjUU6J0NyUjd4V9MP71YspJT4wXTJp&#10;tCjoUXh6t3j+bN7amZiY2shSOIIg2s9aW9A6BDvLMs9roZgfGSs0jJVxigWobpeVjrWIrmQ2yfOb&#10;rDWutM5w4T1eH85Gukjxq0rw8FhVXgQiC4raQjpdOrfxzBZzNts5ZuuG92Wwf6hCsUYj6SXUAwuM&#10;7F3zRyjVcGe8qcKIG5WZqmq4SD2gm3H+WzebmlmRegE43l5g8v8vLH93eHKkKQt6S4lmCiM6ff1y&#10;+vbj9P0zuY3wtNbP4LWx8Avda9MVNLi9GEwe77HxrnIq3miJwAVYHy/4ii4QjsfxdDKd5jBx2AYF&#10;KbLrd+t8eCOMIlEoqMMAE67ssPbh7Dq4xGzarBop0xClJm1Bb16+ytOHiwXBpUaO2Me52CiFbtv1&#10;zW1NeURvzpzJ4S1fNUi+Zj48MQc2oGAwPDziqKRBEtNLlNTGffrbe/THkGClpAW7CqpBf0rkW43h&#10;RSIOghuE7SDovbo3oOsYm2N5EvHBBTmIlTPqI2i/jDkqJj0CM82RDaMZxPsArTdifbhYLi/63rpm&#10;V18/g4qWhbXeWN4PN2Lr7XIfgG+CPWJ2BqqHEnxMg+t3JxL+Vz15XTd8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RiQ8L1gAAAAgBAAAPAAAAAAAAAAEAIAAAADgAAABkcnMvZG93bnJldi54bWxQ&#10;SwECFAAUAAAACACHTuJAK8tgzBwCAAApBAAADgAAAAAAAAABACAAAAA7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5"/>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posOffset>3810</wp:posOffset>
              </wp:positionH>
              <wp:positionV relativeFrom="paragraph">
                <wp:posOffset>-47625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0.3pt;margin-top:-3.75pt;height:144pt;width:144pt;mso-position-horizontal-relative:margin;mso-wrap-style:none;z-index:251664384;mso-width-relative:page;mso-height-relative:page;" filled="f" stroked="f" coordsize="21600,21600" o:gfxdata="UEsFBgAAAAAAAAAAAAAAAAAAAAAAAFBLAwQKAAAAAACHTuJAAAAAAAAAAAAAAAAABAAAAGRycy9Q&#10;SwMEFAAAAAgAh07iQHncyU3UAAAABwEAAA8AAABkcnMvZG93bnJldi54bWxNjsFOwzAQRO9I/IO1&#10;SNxau4WWKMSpREU4ItFw4OjGSxKI15HtpuHv2Z7gNjszmn3FbnaDmDDE3pOG1VKBQGq87anV8F5X&#10;iwxETIasGTyhhh+MsCuvrwqTW3+mN5wOqRU8QjE3GrqUxlzK2HToTFz6EYmzTx+cSXyGVtpgzjzu&#10;BrlWaiud6Yk/dGbEfYfN9+HkNOyrug4TxjB84Et19/X6dI/Ps9a3Nyv1CCLhnP7KcMFndCiZ6ehP&#10;ZKMYNGy5p2HxsAHB6TrL2DhehNqALAv5n7/8BVBLAwQUAAAACACHTuJAZAD4vxoCAAArBAAADgAA&#10;AGRycy9lMm9Eb2MueG1srVPLjtMwFN0j8Q+W9zRtEaOqajoqMypCqpiRBsTadewmkl+y3SblA+AP&#10;WLFhz3f1Ozh2kxYBK8TGvi/fxznXi9tOK3IQPjTWlHQyGlMiDLdVY3Yl/fB+/WJGSYjMVExZI0p6&#10;FIHeLp8/W7RuLqa2tqoSniCJCfPWlbSO0c2LIvBaaBZG1gkDp7ReswjV74rKsxbZtSqm4/FN0Vpf&#10;OW+5CAHW+7OTLnN+KQWPD1IGEYkqKXqL+fT53KazWC7YfOeZqxvet8H+oQvNGoOil1T3LDKy980f&#10;qXTDvQ1WxhG3urBSNlzkGTDNZPzbNE81cyLPAnCCu8AU/l9a/u7w6ElTgbsJJYZpcHT6+uX07cfp&#10;+2cCGwBqXZgj7skhMnavbVfS6PdicAXY0+id9DrdGIogBGgfLwiLLhIO42Q2nc3GcHH4BgUliutz&#10;50N8I6wmSSipB4UZWXbYhHgOHUJSNWPXjVKZRmVIW9Kbl6/G+cHFg+TKoEaa49xskmK37frhtrY6&#10;YjZvz+sRHF83KL5hIT4yj31Aw9jx+IBDKositpcoqa3/9Dd7igdN8FLSYr9KavABKFFvDehLqzgI&#10;fhC2g2D2+s5iYcEIeskiHvioBlF6qz9i8VephmQqIDEzHNVAzSDeRWi9Ex+Ii9Xqou+db3b19TGW&#10;0bG4MU+O9+QmbINb7SPwzbAnzM5A9VBiIzNx/e9JK/+rnqOuf3z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HncyU3UAAAABwEAAA8AAAAAAAAAAQAgAAAAOAAAAGRycy9kb3ducmV2LnhtbFBLAQIU&#10;ABQAAAAIAIdO4kBkAPi/GgIAACsEAAAOAAAAAAAAAAEAIAAAADkBAABkcnMvZTJvRG9jLnhtbFBL&#10;BQYAAAAABgAGAFkBAADF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25"/>
    <w:rsid w:val="00003F96"/>
    <w:rsid w:val="00004DD6"/>
    <w:rsid w:val="00034B36"/>
    <w:rsid w:val="00074BD6"/>
    <w:rsid w:val="00082A2D"/>
    <w:rsid w:val="00086F42"/>
    <w:rsid w:val="00097B33"/>
    <w:rsid w:val="000E0DCA"/>
    <w:rsid w:val="000F6C24"/>
    <w:rsid w:val="001024B5"/>
    <w:rsid w:val="00230310"/>
    <w:rsid w:val="00235D64"/>
    <w:rsid w:val="002A2EDA"/>
    <w:rsid w:val="00307DEF"/>
    <w:rsid w:val="00315468"/>
    <w:rsid w:val="003359E4"/>
    <w:rsid w:val="003454E7"/>
    <w:rsid w:val="003B151F"/>
    <w:rsid w:val="003E615F"/>
    <w:rsid w:val="00450C8E"/>
    <w:rsid w:val="0048758A"/>
    <w:rsid w:val="004B6A0C"/>
    <w:rsid w:val="004D65E5"/>
    <w:rsid w:val="00563D25"/>
    <w:rsid w:val="005831D1"/>
    <w:rsid w:val="005F17F5"/>
    <w:rsid w:val="005F6994"/>
    <w:rsid w:val="006128D6"/>
    <w:rsid w:val="00632F13"/>
    <w:rsid w:val="006A4E86"/>
    <w:rsid w:val="006D7F4B"/>
    <w:rsid w:val="008523CD"/>
    <w:rsid w:val="008C4AE4"/>
    <w:rsid w:val="00997105"/>
    <w:rsid w:val="00997A15"/>
    <w:rsid w:val="009B2E45"/>
    <w:rsid w:val="009B304F"/>
    <w:rsid w:val="009C3D0E"/>
    <w:rsid w:val="00A42236"/>
    <w:rsid w:val="00B11CC1"/>
    <w:rsid w:val="00B21473"/>
    <w:rsid w:val="00B40E78"/>
    <w:rsid w:val="00B47076"/>
    <w:rsid w:val="00B8294F"/>
    <w:rsid w:val="00C24125"/>
    <w:rsid w:val="00CF4561"/>
    <w:rsid w:val="00D408D5"/>
    <w:rsid w:val="00DF2363"/>
    <w:rsid w:val="00E2671A"/>
    <w:rsid w:val="00E32AEF"/>
    <w:rsid w:val="00E95D2A"/>
    <w:rsid w:val="00E96F02"/>
    <w:rsid w:val="00EC3E00"/>
    <w:rsid w:val="00F350A3"/>
    <w:rsid w:val="00F47102"/>
    <w:rsid w:val="00F60B93"/>
    <w:rsid w:val="00F60C77"/>
    <w:rsid w:val="00FC3CF1"/>
    <w:rsid w:val="00FF02C9"/>
    <w:rsid w:val="05540C94"/>
    <w:rsid w:val="065E4D5D"/>
    <w:rsid w:val="07091F75"/>
    <w:rsid w:val="15A1050E"/>
    <w:rsid w:val="1AAE61FB"/>
    <w:rsid w:val="218906AA"/>
    <w:rsid w:val="253C7435"/>
    <w:rsid w:val="28CC361F"/>
    <w:rsid w:val="2AEA6718"/>
    <w:rsid w:val="2B677655"/>
    <w:rsid w:val="33EE1A90"/>
    <w:rsid w:val="34F3349A"/>
    <w:rsid w:val="36B10DB7"/>
    <w:rsid w:val="3AB960F1"/>
    <w:rsid w:val="3C2A3C08"/>
    <w:rsid w:val="3EF738FE"/>
    <w:rsid w:val="3F841409"/>
    <w:rsid w:val="43A77933"/>
    <w:rsid w:val="480C1693"/>
    <w:rsid w:val="4B2F6341"/>
    <w:rsid w:val="4F5868B3"/>
    <w:rsid w:val="56E04A90"/>
    <w:rsid w:val="5A41464D"/>
    <w:rsid w:val="642A5849"/>
    <w:rsid w:val="6612240A"/>
    <w:rsid w:val="66891421"/>
    <w:rsid w:val="6A3A64E0"/>
    <w:rsid w:val="73117FE1"/>
    <w:rsid w:val="74586FB5"/>
    <w:rsid w:val="75DD5BBD"/>
    <w:rsid w:val="798F030C"/>
    <w:rsid w:val="7B562EAF"/>
    <w:rsid w:val="7D6D7A03"/>
    <w:rsid w:val="7DE3D6F7"/>
    <w:rsid w:val="7DEC0DCF"/>
    <w:rsid w:val="7FC62608"/>
    <w:rsid w:val="E7FF5D27"/>
    <w:rsid w:val="FDFFC746"/>
    <w:rsid w:val="FFFDB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line="550" w:lineRule="exact"/>
      <w:ind w:left="0" w:leftChars="0" w:firstLine="420" w:firstLineChars="200"/>
    </w:pPr>
    <w:rPr>
      <w:sz w:val="30"/>
    </w:rPr>
  </w:style>
  <w:style w:type="paragraph" w:styleId="3">
    <w:name w:val="Body Text Indent"/>
    <w:basedOn w:val="1"/>
    <w:unhideWhenUsed/>
    <w:qFormat/>
    <w:uiPriority w:val="99"/>
    <w:pPr>
      <w:ind w:firstLine="600" w:firstLineChars="200"/>
    </w:pPr>
    <w:rPr>
      <w:rFonts w:ascii="黑体" w:eastAsia="黑体"/>
      <w:sz w:val="30"/>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1"/>
    <w:qFormat/>
    <w:uiPriority w:val="0"/>
    <w:rPr>
      <w:rFonts w:ascii="Arial" w:hAnsi="Arial" w:eastAsia="微软雅黑"/>
      <w:color w:val="333333"/>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10"/>
    <w:link w:val="6"/>
    <w:semiHidden/>
    <w:qFormat/>
    <w:uiPriority w:val="99"/>
    <w:rPr>
      <w:rFonts w:ascii="Times New Roman" w:hAnsi="Times New Roman" w:eastAsia="宋体" w:cs="Times New Roman"/>
      <w:kern w:val="2"/>
      <w:sz w:val="18"/>
      <w:szCs w:val="18"/>
    </w:rPr>
  </w:style>
  <w:style w:type="character" w:customStyle="1" w:styleId="13">
    <w:name w:val="页脚 Char"/>
    <w:basedOn w:val="10"/>
    <w:link w:val="5"/>
    <w:semiHidden/>
    <w:qFormat/>
    <w:uiPriority w:val="99"/>
    <w:rPr>
      <w:rFonts w:ascii="Times New Roman" w:hAnsi="Times New Roman" w:eastAsia="宋体" w:cs="Times New Roman"/>
      <w:kern w:val="2"/>
      <w:sz w:val="18"/>
      <w:szCs w:val="18"/>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1372</Words>
  <Characters>7822</Characters>
  <Lines>65</Lines>
  <Paragraphs>18</Paragraphs>
  <TotalTime>4</TotalTime>
  <ScaleCrop>false</ScaleCrop>
  <LinksUpToDate>false</LinksUpToDate>
  <CharactersWithSpaces>9176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2021-08-04T10:30:00Z</dcterms:created>
  <dc:creator>Administrator</dc:creator>
  <cp:lastModifiedBy>thtf</cp:lastModifiedBy>
  <cp:lastPrinted>2021-09-19T10:04:00Z</cp:lastPrinted>
  <dcterms:modified xsi:type="dcterms:W3CDTF">2022-03-16T08:48:59Z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5BB30603BF0C48BB837971D5020A786B</vt:lpwstr>
  </property>
</Properties>
</file>